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8C10E4" w:rsidP="00EE59C2">
      <w:pPr>
        <w:pStyle w:val="aff7"/>
      </w:pPr>
      <w:r>
        <w:rPr>
          <w:noProof/>
          <w:lang w:eastAsia="ru-RU"/>
        </w:rPr>
        <w:pict>
          <v:rect id="Rectangle 3" o:spid="_x0000_s1027" style="position:absolute;left:0;text-align:left;margin-left:-64.8pt;margin-top:-38.7pt;width:551.25pt;height:665.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" stroked="f">
            <v:path arrowok="t"/>
            <v:textbox>
              <w:txbxContent>
                <w:p w:rsidR="007D49C0" w:rsidRPr="004A5932" w:rsidRDefault="007D49C0" w:rsidP="004A5932"/>
              </w:txbxContent>
            </v:textbox>
          </v:rect>
        </w:pict>
      </w:r>
      <w:r>
        <w:rPr>
          <w:noProof/>
          <w:lang w:eastAsia="ru-RU"/>
        </w:rPr>
        <w:pict>
          <v:rect id="Прямоугольник 3" o:spid="_x0000_s1026" style="position:absolute;left:0;text-align:left;margin-left:-2.8pt;margin-top:-87.7pt;width:598.55pt;height:867.8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" fillcolor="#0b595d" stroked="f" strokeweight="2pt">
            <v:fill opacity="6682f"/>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9119D3">
            <w:pPr>
              <w:tabs>
                <w:tab w:val="left" w:pos="6135"/>
              </w:tabs>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6E41C5" w:rsidRDefault="006E41C5" w:rsidP="009119D3">
            <w:pPr>
              <w:tabs>
                <w:tab w:val="left" w:pos="6135"/>
              </w:tabs>
              <w:rPr>
                <w:b/>
                <w:szCs w:val="24"/>
              </w:rPr>
            </w:pPr>
            <w:r w:rsidRPr="006E41C5">
              <w:rPr>
                <w:b/>
                <w:color w:val="000000"/>
                <w:szCs w:val="24"/>
              </w:rPr>
              <w:t>Синдром Сезари</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szCs w:val="28"/>
              </w:rPr>
            </w:pPr>
            <w:r w:rsidRPr="00F95275">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F95275" w:rsidRDefault="00221384" w:rsidP="00F95275">
            <w:pPr>
              <w:pStyle w:val="aff3"/>
              <w:spacing w:line="276" w:lineRule="auto"/>
              <w:ind w:firstLine="0"/>
              <w:jc w:val="right"/>
              <w:rPr>
                <w:sz w:val="24"/>
                <w:szCs w:val="28"/>
              </w:rPr>
            </w:pPr>
          </w:p>
        </w:tc>
        <w:tc>
          <w:tcPr>
            <w:tcW w:w="5839" w:type="dxa"/>
          </w:tcPr>
          <w:p w:rsidR="00221384" w:rsidRPr="00F95275" w:rsidRDefault="006E41C5" w:rsidP="00F95275">
            <w:pPr>
              <w:tabs>
                <w:tab w:val="left" w:pos="6135"/>
              </w:tabs>
              <w:spacing w:line="276" w:lineRule="auto"/>
              <w:ind w:firstLine="0"/>
              <w:jc w:val="left"/>
              <w:rPr>
                <w:szCs w:val="28"/>
              </w:rPr>
            </w:pPr>
            <w:r>
              <w:rPr>
                <w:rStyle w:val="pop-slug-vol"/>
                <w:b/>
                <w:szCs w:val="24"/>
              </w:rPr>
              <w:t>С84.1</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p>
        </w:tc>
        <w:tc>
          <w:tcPr>
            <w:tcW w:w="5839" w:type="dxa"/>
          </w:tcPr>
          <w:p w:rsidR="00221384" w:rsidRPr="00F95275" w:rsidRDefault="006E41C5" w:rsidP="00F95275">
            <w:pPr>
              <w:tabs>
                <w:tab w:val="left" w:pos="6135"/>
              </w:tabs>
              <w:spacing w:line="276" w:lineRule="auto"/>
              <w:ind w:firstLine="0"/>
              <w:jc w:val="left"/>
              <w:rPr>
                <w:color w:val="808080"/>
                <w:szCs w:val="28"/>
              </w:rPr>
            </w:pPr>
            <w:r w:rsidRPr="0014471F">
              <w:rPr>
                <w:color w:val="808080"/>
                <w:szCs w:val="24"/>
              </w:rPr>
              <w:t>Взрослые и дети</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F95275" w:rsidRDefault="00221384" w:rsidP="00F95275">
            <w:pPr>
              <w:tabs>
                <w:tab w:val="left" w:pos="6135"/>
              </w:tabs>
              <w:spacing w:line="276" w:lineRule="auto"/>
              <w:ind w:firstLine="0"/>
              <w:jc w:val="left"/>
              <w:rPr>
                <w:b/>
              </w:rPr>
            </w:pP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p>
        </w:tc>
      </w:tr>
      <w:tr w:rsidR="00172112" w:rsidRPr="00F95275" w:rsidTr="00F95275">
        <w:trPr>
          <w:trHeight w:val="4170"/>
        </w:trPr>
        <w:tc>
          <w:tcPr>
            <w:tcW w:w="9525" w:type="dxa"/>
            <w:gridSpan w:val="2"/>
          </w:tcPr>
          <w:p w:rsidR="006E41C5" w:rsidRPr="00837E16" w:rsidRDefault="006E41C5" w:rsidP="006E41C5">
            <w:pPr>
              <w:pStyle w:val="aff7"/>
              <w:numPr>
                <w:ilvl w:val="0"/>
                <w:numId w:val="2"/>
              </w:numPr>
              <w:rPr>
                <w:b/>
                <w:szCs w:val="24"/>
              </w:rPr>
            </w:pPr>
            <w:r w:rsidRPr="002D4E29">
              <w:rPr>
                <w:szCs w:val="24"/>
              </w:rPr>
              <w:t xml:space="preserve">Общероссийская общественная организация «Российское общество </w:t>
            </w:r>
            <w:r w:rsidRPr="00B778C2">
              <w:rPr>
                <w:szCs w:val="24"/>
              </w:rPr>
              <w:t>дерматовенерологов и косметологов»</w:t>
            </w:r>
          </w:p>
          <w:p w:rsidR="00172112" w:rsidRPr="007D49C0" w:rsidRDefault="006E41C5" w:rsidP="006E41C5">
            <w:pPr>
              <w:pStyle w:val="aff7"/>
              <w:numPr>
                <w:ilvl w:val="0"/>
                <w:numId w:val="2"/>
              </w:numPr>
              <w:rPr>
                <w:b/>
                <w:color w:val="000000" w:themeColor="text1"/>
                <w:sz w:val="28"/>
              </w:rPr>
            </w:pPr>
            <w:r w:rsidRPr="007D49C0">
              <w:rPr>
                <w:color w:val="000000" w:themeColor="text1"/>
                <w:szCs w:val="24"/>
              </w:rPr>
              <w:t>Региональная общественная организация «Общество онкогематологов»</w:t>
            </w:r>
          </w:p>
          <w:p w:rsidR="00490D13" w:rsidRPr="007D49C0" w:rsidRDefault="00490D13" w:rsidP="00490D13">
            <w:pPr>
              <w:pStyle w:val="aff7"/>
              <w:numPr>
                <w:ilvl w:val="0"/>
                <w:numId w:val="2"/>
              </w:numPr>
              <w:rPr>
                <w:b/>
                <w:color w:val="000000" w:themeColor="text1"/>
                <w:sz w:val="28"/>
              </w:rPr>
            </w:pPr>
            <w:r w:rsidRPr="007D49C0">
              <w:rPr>
                <w:color w:val="000000" w:themeColor="text1"/>
              </w:rPr>
              <w:t>Ассоциация содействия развитию гематологии и т</w:t>
            </w:r>
            <w:r w:rsidR="000F7897">
              <w:rPr>
                <w:color w:val="000000" w:themeColor="text1"/>
              </w:rPr>
              <w:t>рансплантологии костного мозга «</w:t>
            </w:r>
            <w:r w:rsidRPr="007D49C0">
              <w:rPr>
                <w:color w:val="000000" w:themeColor="text1"/>
              </w:rPr>
              <w:t>Национальное гематологическое общество</w:t>
            </w:r>
            <w:r w:rsidR="000F7897">
              <w:rPr>
                <w:color w:val="000000" w:themeColor="text1"/>
              </w:rPr>
              <w:t>»</w:t>
            </w:r>
          </w:p>
          <w:p w:rsidR="00222CBB" w:rsidRDefault="00222CBB" w:rsidP="00222CBB">
            <w:pPr>
              <w:pStyle w:val="aff7"/>
              <w:ind w:left="1068" w:firstLine="0"/>
              <w:rPr>
                <w:b/>
                <w:sz w:val="28"/>
              </w:rPr>
            </w:pPr>
          </w:p>
          <w:p w:rsidR="00174593" w:rsidRPr="00F95275" w:rsidRDefault="00174593" w:rsidP="006E41C5">
            <w:pPr>
              <w:pStyle w:val="aff7"/>
              <w:rPr>
                <w:b/>
                <w:sz w:val="28"/>
              </w:rPr>
            </w:pPr>
          </w:p>
          <w:p w:rsidR="00174593" w:rsidRPr="00F95275" w:rsidRDefault="00174593" w:rsidP="00F95275">
            <w:pPr>
              <w:pStyle w:val="aff7"/>
              <w:rPr>
                <w:b/>
                <w:sz w:val="28"/>
              </w:rPr>
            </w:pPr>
          </w:p>
          <w:p w:rsidR="00CC5156" w:rsidRPr="00F95275" w:rsidRDefault="00CC5156" w:rsidP="00F95275">
            <w:pPr>
              <w:pStyle w:val="aff7"/>
              <w:ind w:firstLine="0"/>
              <w:rPr>
                <w:b/>
                <w:sz w:val="28"/>
              </w:rPr>
            </w:pPr>
          </w:p>
        </w:tc>
      </w:tr>
    </w:tbl>
    <w:p w:rsidR="00094ED6" w:rsidRDefault="00094ED6" w:rsidP="00172112">
      <w:pPr>
        <w:pStyle w:val="afe"/>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36831338"/>
      <w:bookmarkStart w:id="2" w:name="_Toc34301071"/>
      <w:r w:rsidRPr="00172112">
        <w:rPr>
          <w:sz w:val="28"/>
          <w:u w:val="none"/>
        </w:rPr>
        <w:lastRenderedPageBreak/>
        <w:t>Оглавление</w:t>
      </w:r>
      <w:bookmarkEnd w:id="0"/>
      <w:bookmarkEnd w:id="1"/>
      <w:bookmarkEnd w:id="2"/>
    </w:p>
    <w:p w:rsidR="00FA7D06" w:rsidRDefault="008C10E4">
      <w:pPr>
        <w:pStyle w:val="15"/>
        <w:rPr>
          <w:rFonts w:asciiTheme="minorHAnsi" w:eastAsiaTheme="minorEastAsia" w:hAnsiTheme="minorHAnsi" w:cstheme="minorBidi"/>
          <w:noProof/>
          <w:sz w:val="22"/>
          <w:lang w:eastAsia="ru-RU"/>
        </w:rPr>
      </w:pPr>
      <w:r w:rsidRPr="008C10E4">
        <w:rPr>
          <w:szCs w:val="24"/>
        </w:rPr>
        <w:fldChar w:fldCharType="begin"/>
      </w:r>
      <w:r w:rsidR="00172112" w:rsidRPr="00877EF5">
        <w:rPr>
          <w:szCs w:val="24"/>
        </w:rPr>
        <w:instrText xml:space="preserve"> TOC \o "1-3" \h \z \u </w:instrText>
      </w:r>
      <w:r w:rsidRPr="008C10E4">
        <w:rPr>
          <w:szCs w:val="24"/>
        </w:rPr>
        <w:fldChar w:fldCharType="separate"/>
      </w:r>
      <w:hyperlink w:anchor="_Toc36831338" w:history="1">
        <w:r w:rsidR="00FA7D06" w:rsidRPr="00C50DD6">
          <w:rPr>
            <w:rStyle w:val="affc"/>
            <w:noProof/>
          </w:rPr>
          <w:t>Оглавление</w:t>
        </w:r>
        <w:r w:rsidR="00FA7D06">
          <w:rPr>
            <w:noProof/>
            <w:webHidden/>
          </w:rPr>
          <w:tab/>
        </w:r>
        <w:r>
          <w:rPr>
            <w:noProof/>
            <w:webHidden/>
          </w:rPr>
          <w:fldChar w:fldCharType="begin"/>
        </w:r>
        <w:r w:rsidR="00FA7D06">
          <w:rPr>
            <w:noProof/>
            <w:webHidden/>
          </w:rPr>
          <w:instrText xml:space="preserve"> PAGEREF _Toc36831338 \h </w:instrText>
        </w:r>
        <w:r>
          <w:rPr>
            <w:noProof/>
            <w:webHidden/>
          </w:rPr>
        </w:r>
        <w:r>
          <w:rPr>
            <w:noProof/>
            <w:webHidden/>
          </w:rPr>
          <w:fldChar w:fldCharType="separate"/>
        </w:r>
        <w:r w:rsidR="00FA7D06">
          <w:rPr>
            <w:noProof/>
            <w:webHidden/>
          </w:rPr>
          <w:t>2</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39" w:history="1">
        <w:r w:rsidR="00FA7D06" w:rsidRPr="00C50DD6">
          <w:rPr>
            <w:rStyle w:val="affc"/>
            <w:noProof/>
          </w:rPr>
          <w:t>Список сокращений</w:t>
        </w:r>
        <w:r w:rsidR="00FA7D06">
          <w:rPr>
            <w:noProof/>
            <w:webHidden/>
          </w:rPr>
          <w:tab/>
        </w:r>
        <w:r>
          <w:rPr>
            <w:noProof/>
            <w:webHidden/>
          </w:rPr>
          <w:fldChar w:fldCharType="begin"/>
        </w:r>
        <w:r w:rsidR="00FA7D06">
          <w:rPr>
            <w:noProof/>
            <w:webHidden/>
          </w:rPr>
          <w:instrText xml:space="preserve"> PAGEREF _Toc36831339 \h </w:instrText>
        </w:r>
        <w:r>
          <w:rPr>
            <w:noProof/>
            <w:webHidden/>
          </w:rPr>
        </w:r>
        <w:r>
          <w:rPr>
            <w:noProof/>
            <w:webHidden/>
          </w:rPr>
          <w:fldChar w:fldCharType="separate"/>
        </w:r>
        <w:r w:rsidR="00FA7D06">
          <w:rPr>
            <w:noProof/>
            <w:webHidden/>
          </w:rPr>
          <w:t>4</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40" w:history="1">
        <w:r w:rsidR="00FA7D06" w:rsidRPr="00C50DD6">
          <w:rPr>
            <w:rStyle w:val="affc"/>
            <w:noProof/>
          </w:rPr>
          <w:t>Термины и определения</w:t>
        </w:r>
        <w:r w:rsidR="00FA7D06">
          <w:rPr>
            <w:noProof/>
            <w:webHidden/>
          </w:rPr>
          <w:tab/>
        </w:r>
        <w:r>
          <w:rPr>
            <w:noProof/>
            <w:webHidden/>
          </w:rPr>
          <w:fldChar w:fldCharType="begin"/>
        </w:r>
        <w:r w:rsidR="00FA7D06">
          <w:rPr>
            <w:noProof/>
            <w:webHidden/>
          </w:rPr>
          <w:instrText xml:space="preserve"> PAGEREF _Toc36831340 \h </w:instrText>
        </w:r>
        <w:r>
          <w:rPr>
            <w:noProof/>
            <w:webHidden/>
          </w:rPr>
        </w:r>
        <w:r>
          <w:rPr>
            <w:noProof/>
            <w:webHidden/>
          </w:rPr>
          <w:fldChar w:fldCharType="separate"/>
        </w:r>
        <w:r w:rsidR="00FA7D06">
          <w:rPr>
            <w:noProof/>
            <w:webHidden/>
          </w:rPr>
          <w:t>5</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41" w:history="1">
        <w:r w:rsidR="00FA7D06" w:rsidRPr="00C50DD6">
          <w:rPr>
            <w:rStyle w:val="affc"/>
            <w:noProof/>
          </w:rPr>
          <w:t>1. Краткая информация по заболеванию или состоянию (группе заболеваний или состояний)</w:t>
        </w:r>
        <w:r w:rsidR="00FA7D06">
          <w:rPr>
            <w:noProof/>
            <w:webHidden/>
          </w:rPr>
          <w:tab/>
        </w:r>
        <w:r>
          <w:rPr>
            <w:noProof/>
            <w:webHidden/>
          </w:rPr>
          <w:fldChar w:fldCharType="begin"/>
        </w:r>
        <w:r w:rsidR="00FA7D06">
          <w:rPr>
            <w:noProof/>
            <w:webHidden/>
          </w:rPr>
          <w:instrText xml:space="preserve"> PAGEREF _Toc36831341 \h </w:instrText>
        </w:r>
        <w:r>
          <w:rPr>
            <w:noProof/>
            <w:webHidden/>
          </w:rPr>
        </w:r>
        <w:r>
          <w:rPr>
            <w:noProof/>
            <w:webHidden/>
          </w:rPr>
          <w:fldChar w:fldCharType="separate"/>
        </w:r>
        <w:r w:rsidR="00FA7D06">
          <w:rPr>
            <w:noProof/>
            <w:webHidden/>
          </w:rPr>
          <w:t>6</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42" w:history="1">
        <w:r w:rsidR="00FA7D06" w:rsidRPr="00C50DD6">
          <w:rPr>
            <w:rStyle w:val="affc"/>
            <w:noProof/>
          </w:rPr>
          <w:t xml:space="preserve">1.1 Определение </w:t>
        </w:r>
        <w:r w:rsidR="00FA7D06" w:rsidRPr="00C50DD6">
          <w:rPr>
            <w:rStyle w:val="affc"/>
            <w:noProof/>
            <w:shd w:val="clear" w:color="auto" w:fill="FFFFFF"/>
          </w:rPr>
          <w:t>заболевания или состояния (группы заболеваний или состояний)</w:t>
        </w:r>
        <w:r w:rsidR="00FA7D06">
          <w:rPr>
            <w:noProof/>
            <w:webHidden/>
          </w:rPr>
          <w:tab/>
        </w:r>
        <w:r>
          <w:rPr>
            <w:noProof/>
            <w:webHidden/>
          </w:rPr>
          <w:fldChar w:fldCharType="begin"/>
        </w:r>
        <w:r w:rsidR="00FA7D06">
          <w:rPr>
            <w:noProof/>
            <w:webHidden/>
          </w:rPr>
          <w:instrText xml:space="preserve"> PAGEREF _Toc36831342 \h </w:instrText>
        </w:r>
        <w:r>
          <w:rPr>
            <w:noProof/>
            <w:webHidden/>
          </w:rPr>
        </w:r>
        <w:r>
          <w:rPr>
            <w:noProof/>
            <w:webHidden/>
          </w:rPr>
          <w:fldChar w:fldCharType="separate"/>
        </w:r>
        <w:r w:rsidR="00FA7D06">
          <w:rPr>
            <w:noProof/>
            <w:webHidden/>
          </w:rPr>
          <w:t>6</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43" w:history="1">
        <w:r w:rsidR="00FA7D06" w:rsidRPr="00C50DD6">
          <w:rPr>
            <w:rStyle w:val="affc"/>
            <w:noProof/>
          </w:rPr>
          <w:t>1.2 Этиология и патогенез</w:t>
        </w:r>
        <w:r w:rsidR="00FA7D06" w:rsidRPr="00C50DD6">
          <w:rPr>
            <w:rStyle w:val="affc"/>
            <w:noProof/>
            <w:shd w:val="clear" w:color="auto" w:fill="FFFFFF"/>
          </w:rPr>
          <w:t>заболевания или состояния (группы заболеваний или состояний)</w:t>
        </w:r>
        <w:r w:rsidR="00FA7D06">
          <w:rPr>
            <w:noProof/>
            <w:webHidden/>
          </w:rPr>
          <w:tab/>
        </w:r>
        <w:r>
          <w:rPr>
            <w:noProof/>
            <w:webHidden/>
          </w:rPr>
          <w:fldChar w:fldCharType="begin"/>
        </w:r>
        <w:r w:rsidR="00FA7D06">
          <w:rPr>
            <w:noProof/>
            <w:webHidden/>
          </w:rPr>
          <w:instrText xml:space="preserve"> PAGEREF _Toc36831343 \h </w:instrText>
        </w:r>
        <w:r>
          <w:rPr>
            <w:noProof/>
            <w:webHidden/>
          </w:rPr>
        </w:r>
        <w:r>
          <w:rPr>
            <w:noProof/>
            <w:webHidden/>
          </w:rPr>
          <w:fldChar w:fldCharType="separate"/>
        </w:r>
        <w:r w:rsidR="00FA7D06">
          <w:rPr>
            <w:noProof/>
            <w:webHidden/>
          </w:rPr>
          <w:t>6</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44" w:history="1">
        <w:r w:rsidR="00FA7D06" w:rsidRPr="00C50DD6">
          <w:rPr>
            <w:rStyle w:val="affc"/>
            <w:noProof/>
          </w:rPr>
          <w:t xml:space="preserve">1.3 Эпидемиология </w:t>
        </w:r>
        <w:r w:rsidR="00FA7D06" w:rsidRPr="00C50DD6">
          <w:rPr>
            <w:rStyle w:val="affc"/>
            <w:noProof/>
            <w:shd w:val="clear" w:color="auto" w:fill="FFFFFF"/>
          </w:rPr>
          <w:t>заболевания или состояния (группы заболеваний или состояний)</w:t>
        </w:r>
        <w:r w:rsidR="00FA7D06">
          <w:rPr>
            <w:noProof/>
            <w:webHidden/>
          </w:rPr>
          <w:tab/>
        </w:r>
        <w:r>
          <w:rPr>
            <w:noProof/>
            <w:webHidden/>
          </w:rPr>
          <w:fldChar w:fldCharType="begin"/>
        </w:r>
        <w:r w:rsidR="00FA7D06">
          <w:rPr>
            <w:noProof/>
            <w:webHidden/>
          </w:rPr>
          <w:instrText xml:space="preserve"> PAGEREF _Toc36831344 \h </w:instrText>
        </w:r>
        <w:r>
          <w:rPr>
            <w:noProof/>
            <w:webHidden/>
          </w:rPr>
        </w:r>
        <w:r>
          <w:rPr>
            <w:noProof/>
            <w:webHidden/>
          </w:rPr>
          <w:fldChar w:fldCharType="separate"/>
        </w:r>
        <w:r w:rsidR="00FA7D06">
          <w:rPr>
            <w:noProof/>
            <w:webHidden/>
          </w:rPr>
          <w:t>6</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45" w:history="1">
        <w:r w:rsidR="00FA7D06" w:rsidRPr="00C50DD6">
          <w:rPr>
            <w:rStyle w:val="affc"/>
            <w:noProof/>
          </w:rPr>
          <w:t xml:space="preserve">1.4 </w:t>
        </w:r>
        <w:r w:rsidR="00FA7D06" w:rsidRPr="00C50DD6">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FA7D06">
          <w:rPr>
            <w:noProof/>
            <w:webHidden/>
          </w:rPr>
          <w:tab/>
        </w:r>
        <w:r>
          <w:rPr>
            <w:noProof/>
            <w:webHidden/>
          </w:rPr>
          <w:fldChar w:fldCharType="begin"/>
        </w:r>
        <w:r w:rsidR="00FA7D06">
          <w:rPr>
            <w:noProof/>
            <w:webHidden/>
          </w:rPr>
          <w:instrText xml:space="preserve"> PAGEREF _Toc36831345 \h </w:instrText>
        </w:r>
        <w:r>
          <w:rPr>
            <w:noProof/>
            <w:webHidden/>
          </w:rPr>
        </w:r>
        <w:r>
          <w:rPr>
            <w:noProof/>
            <w:webHidden/>
          </w:rPr>
          <w:fldChar w:fldCharType="separate"/>
        </w:r>
        <w:r w:rsidR="00FA7D06">
          <w:rPr>
            <w:noProof/>
            <w:webHidden/>
          </w:rPr>
          <w:t>7</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46" w:history="1">
        <w:r w:rsidR="00FA7D06" w:rsidRPr="00C50DD6">
          <w:rPr>
            <w:rStyle w:val="affc"/>
            <w:noProof/>
          </w:rPr>
          <w:t xml:space="preserve">1.5 Классификация </w:t>
        </w:r>
        <w:r w:rsidR="00FA7D06" w:rsidRPr="00C50DD6">
          <w:rPr>
            <w:rStyle w:val="affc"/>
            <w:noProof/>
            <w:shd w:val="clear" w:color="auto" w:fill="FFFFFF"/>
          </w:rPr>
          <w:t>заболевания или состояния (группы заболеваний или состояний)</w:t>
        </w:r>
        <w:r w:rsidR="00FA7D06">
          <w:rPr>
            <w:noProof/>
            <w:webHidden/>
          </w:rPr>
          <w:tab/>
        </w:r>
        <w:r>
          <w:rPr>
            <w:noProof/>
            <w:webHidden/>
          </w:rPr>
          <w:fldChar w:fldCharType="begin"/>
        </w:r>
        <w:r w:rsidR="00FA7D06">
          <w:rPr>
            <w:noProof/>
            <w:webHidden/>
          </w:rPr>
          <w:instrText xml:space="preserve"> PAGEREF _Toc36831346 \h </w:instrText>
        </w:r>
        <w:r>
          <w:rPr>
            <w:noProof/>
            <w:webHidden/>
          </w:rPr>
        </w:r>
        <w:r>
          <w:rPr>
            <w:noProof/>
            <w:webHidden/>
          </w:rPr>
          <w:fldChar w:fldCharType="separate"/>
        </w:r>
        <w:r w:rsidR="00FA7D06">
          <w:rPr>
            <w:noProof/>
            <w:webHidden/>
          </w:rPr>
          <w:t>7</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47" w:history="1">
        <w:r w:rsidR="00FA7D06" w:rsidRPr="00C50DD6">
          <w:rPr>
            <w:rStyle w:val="affc"/>
            <w:noProof/>
          </w:rPr>
          <w:t xml:space="preserve">1.6 Клиническая картина </w:t>
        </w:r>
        <w:r w:rsidR="00FA7D06" w:rsidRPr="00C50DD6">
          <w:rPr>
            <w:rStyle w:val="affc"/>
            <w:noProof/>
            <w:shd w:val="clear" w:color="auto" w:fill="FFFFFF"/>
          </w:rPr>
          <w:t>заболевания или состояния (группы заболеваний или состояний)</w:t>
        </w:r>
        <w:r w:rsidR="00FA7D06">
          <w:rPr>
            <w:noProof/>
            <w:webHidden/>
          </w:rPr>
          <w:tab/>
        </w:r>
        <w:r>
          <w:rPr>
            <w:noProof/>
            <w:webHidden/>
          </w:rPr>
          <w:fldChar w:fldCharType="begin"/>
        </w:r>
        <w:r w:rsidR="00FA7D06">
          <w:rPr>
            <w:noProof/>
            <w:webHidden/>
          </w:rPr>
          <w:instrText xml:space="preserve"> PAGEREF _Toc36831347 \h </w:instrText>
        </w:r>
        <w:r>
          <w:rPr>
            <w:noProof/>
            <w:webHidden/>
          </w:rPr>
        </w:r>
        <w:r>
          <w:rPr>
            <w:noProof/>
            <w:webHidden/>
          </w:rPr>
          <w:fldChar w:fldCharType="separate"/>
        </w:r>
        <w:r w:rsidR="00FA7D06">
          <w:rPr>
            <w:noProof/>
            <w:webHidden/>
          </w:rPr>
          <w:t>7</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48" w:history="1">
        <w:r w:rsidR="00FA7D06" w:rsidRPr="00C50DD6">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FA7D06">
          <w:rPr>
            <w:noProof/>
            <w:webHidden/>
          </w:rPr>
          <w:tab/>
        </w:r>
        <w:r>
          <w:rPr>
            <w:noProof/>
            <w:webHidden/>
          </w:rPr>
          <w:fldChar w:fldCharType="begin"/>
        </w:r>
        <w:r w:rsidR="00FA7D06">
          <w:rPr>
            <w:noProof/>
            <w:webHidden/>
          </w:rPr>
          <w:instrText xml:space="preserve"> PAGEREF _Toc36831348 \h </w:instrText>
        </w:r>
        <w:r>
          <w:rPr>
            <w:noProof/>
            <w:webHidden/>
          </w:rPr>
        </w:r>
        <w:r>
          <w:rPr>
            <w:noProof/>
            <w:webHidden/>
          </w:rPr>
          <w:fldChar w:fldCharType="separate"/>
        </w:r>
        <w:r w:rsidR="00FA7D06">
          <w:rPr>
            <w:noProof/>
            <w:webHidden/>
          </w:rPr>
          <w:t>7</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49" w:history="1">
        <w:r w:rsidR="00FA7D06" w:rsidRPr="00C50DD6">
          <w:rPr>
            <w:rStyle w:val="affc"/>
            <w:noProof/>
          </w:rPr>
          <w:t>2.1 Жалобы и анамнез</w:t>
        </w:r>
        <w:r w:rsidR="00FA7D06">
          <w:rPr>
            <w:noProof/>
            <w:webHidden/>
          </w:rPr>
          <w:tab/>
        </w:r>
        <w:r>
          <w:rPr>
            <w:noProof/>
            <w:webHidden/>
          </w:rPr>
          <w:fldChar w:fldCharType="begin"/>
        </w:r>
        <w:r w:rsidR="00FA7D06">
          <w:rPr>
            <w:noProof/>
            <w:webHidden/>
          </w:rPr>
          <w:instrText xml:space="preserve"> PAGEREF _Toc36831349 \h </w:instrText>
        </w:r>
        <w:r>
          <w:rPr>
            <w:noProof/>
            <w:webHidden/>
          </w:rPr>
        </w:r>
        <w:r>
          <w:rPr>
            <w:noProof/>
            <w:webHidden/>
          </w:rPr>
          <w:fldChar w:fldCharType="separate"/>
        </w:r>
        <w:r w:rsidR="00FA7D06">
          <w:rPr>
            <w:noProof/>
            <w:webHidden/>
          </w:rPr>
          <w:t>8</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50" w:history="1">
        <w:r w:rsidR="00FA7D06" w:rsidRPr="00C50DD6">
          <w:rPr>
            <w:rStyle w:val="affc"/>
            <w:noProof/>
          </w:rPr>
          <w:t>2.2 Физикальное обследование</w:t>
        </w:r>
        <w:r w:rsidR="00FA7D06">
          <w:rPr>
            <w:noProof/>
            <w:webHidden/>
          </w:rPr>
          <w:tab/>
        </w:r>
        <w:r>
          <w:rPr>
            <w:noProof/>
            <w:webHidden/>
          </w:rPr>
          <w:fldChar w:fldCharType="begin"/>
        </w:r>
        <w:r w:rsidR="00FA7D06">
          <w:rPr>
            <w:noProof/>
            <w:webHidden/>
          </w:rPr>
          <w:instrText xml:space="preserve"> PAGEREF _Toc36831350 \h </w:instrText>
        </w:r>
        <w:r>
          <w:rPr>
            <w:noProof/>
            <w:webHidden/>
          </w:rPr>
        </w:r>
        <w:r>
          <w:rPr>
            <w:noProof/>
            <w:webHidden/>
          </w:rPr>
          <w:fldChar w:fldCharType="separate"/>
        </w:r>
        <w:r w:rsidR="00FA7D06">
          <w:rPr>
            <w:noProof/>
            <w:webHidden/>
          </w:rPr>
          <w:t>8</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51" w:history="1">
        <w:r w:rsidR="00FA7D06" w:rsidRPr="00C50DD6">
          <w:rPr>
            <w:rStyle w:val="affc"/>
            <w:noProof/>
          </w:rPr>
          <w:t>2.3 Лабораторные диагностические исследования</w:t>
        </w:r>
        <w:r w:rsidR="00FA7D06">
          <w:rPr>
            <w:noProof/>
            <w:webHidden/>
          </w:rPr>
          <w:tab/>
        </w:r>
        <w:r>
          <w:rPr>
            <w:noProof/>
            <w:webHidden/>
          </w:rPr>
          <w:fldChar w:fldCharType="begin"/>
        </w:r>
        <w:r w:rsidR="00FA7D06">
          <w:rPr>
            <w:noProof/>
            <w:webHidden/>
          </w:rPr>
          <w:instrText xml:space="preserve"> PAGEREF _Toc36831351 \h </w:instrText>
        </w:r>
        <w:r>
          <w:rPr>
            <w:noProof/>
            <w:webHidden/>
          </w:rPr>
        </w:r>
        <w:r>
          <w:rPr>
            <w:noProof/>
            <w:webHidden/>
          </w:rPr>
          <w:fldChar w:fldCharType="separate"/>
        </w:r>
        <w:r w:rsidR="00FA7D06">
          <w:rPr>
            <w:noProof/>
            <w:webHidden/>
          </w:rPr>
          <w:t>8</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52" w:history="1">
        <w:r w:rsidR="00FA7D06" w:rsidRPr="00C50DD6">
          <w:rPr>
            <w:rStyle w:val="affc"/>
            <w:noProof/>
          </w:rPr>
          <w:t>2.4 Инструментальные диагностические исследования</w:t>
        </w:r>
        <w:r w:rsidR="00FA7D06">
          <w:rPr>
            <w:noProof/>
            <w:webHidden/>
          </w:rPr>
          <w:tab/>
        </w:r>
        <w:r>
          <w:rPr>
            <w:noProof/>
            <w:webHidden/>
          </w:rPr>
          <w:fldChar w:fldCharType="begin"/>
        </w:r>
        <w:r w:rsidR="00FA7D06">
          <w:rPr>
            <w:noProof/>
            <w:webHidden/>
          </w:rPr>
          <w:instrText xml:space="preserve"> PAGEREF _Toc36831352 \h </w:instrText>
        </w:r>
        <w:r>
          <w:rPr>
            <w:noProof/>
            <w:webHidden/>
          </w:rPr>
        </w:r>
        <w:r>
          <w:rPr>
            <w:noProof/>
            <w:webHidden/>
          </w:rPr>
          <w:fldChar w:fldCharType="separate"/>
        </w:r>
        <w:r w:rsidR="00FA7D06">
          <w:rPr>
            <w:noProof/>
            <w:webHidden/>
          </w:rPr>
          <w:t>15</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53" w:history="1">
        <w:r w:rsidR="00FA7D06" w:rsidRPr="00C50DD6">
          <w:rPr>
            <w:rStyle w:val="affc"/>
            <w:noProof/>
          </w:rPr>
          <w:t>2.5 Иные диагностические исследования</w:t>
        </w:r>
        <w:r w:rsidR="00FA7D06">
          <w:rPr>
            <w:noProof/>
            <w:webHidden/>
          </w:rPr>
          <w:tab/>
        </w:r>
        <w:r>
          <w:rPr>
            <w:noProof/>
            <w:webHidden/>
          </w:rPr>
          <w:fldChar w:fldCharType="begin"/>
        </w:r>
        <w:r w:rsidR="00FA7D06">
          <w:rPr>
            <w:noProof/>
            <w:webHidden/>
          </w:rPr>
          <w:instrText xml:space="preserve"> PAGEREF _Toc36831353 \h </w:instrText>
        </w:r>
        <w:r>
          <w:rPr>
            <w:noProof/>
            <w:webHidden/>
          </w:rPr>
        </w:r>
        <w:r>
          <w:rPr>
            <w:noProof/>
            <w:webHidden/>
          </w:rPr>
          <w:fldChar w:fldCharType="separate"/>
        </w:r>
        <w:r w:rsidR="00FA7D06">
          <w:rPr>
            <w:noProof/>
            <w:webHidden/>
          </w:rPr>
          <w:t>16</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54" w:history="1">
        <w:r w:rsidR="00FA7D06" w:rsidRPr="00C50DD6">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FA7D06">
          <w:rPr>
            <w:noProof/>
            <w:webHidden/>
          </w:rPr>
          <w:tab/>
        </w:r>
        <w:r>
          <w:rPr>
            <w:noProof/>
            <w:webHidden/>
          </w:rPr>
          <w:fldChar w:fldCharType="begin"/>
        </w:r>
        <w:r w:rsidR="00FA7D06">
          <w:rPr>
            <w:noProof/>
            <w:webHidden/>
          </w:rPr>
          <w:instrText xml:space="preserve"> PAGEREF _Toc36831354 \h </w:instrText>
        </w:r>
        <w:r>
          <w:rPr>
            <w:noProof/>
            <w:webHidden/>
          </w:rPr>
        </w:r>
        <w:r>
          <w:rPr>
            <w:noProof/>
            <w:webHidden/>
          </w:rPr>
          <w:fldChar w:fldCharType="separate"/>
        </w:r>
        <w:r w:rsidR="00FA7D06">
          <w:rPr>
            <w:noProof/>
            <w:webHidden/>
          </w:rPr>
          <w:t>17</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55" w:history="1">
        <w:r w:rsidR="00FA7D06" w:rsidRPr="00C50DD6">
          <w:rPr>
            <w:rStyle w:val="affc"/>
            <w:rFonts w:eastAsia="Times New Roman"/>
            <w:noProof/>
          </w:rPr>
          <w:t>3.1Консервативное лечение</w:t>
        </w:r>
        <w:r w:rsidR="00FA7D06">
          <w:rPr>
            <w:noProof/>
            <w:webHidden/>
          </w:rPr>
          <w:tab/>
        </w:r>
        <w:r>
          <w:rPr>
            <w:noProof/>
            <w:webHidden/>
          </w:rPr>
          <w:fldChar w:fldCharType="begin"/>
        </w:r>
        <w:r w:rsidR="00FA7D06">
          <w:rPr>
            <w:noProof/>
            <w:webHidden/>
          </w:rPr>
          <w:instrText xml:space="preserve"> PAGEREF _Toc36831355 \h </w:instrText>
        </w:r>
        <w:r>
          <w:rPr>
            <w:noProof/>
            <w:webHidden/>
          </w:rPr>
        </w:r>
        <w:r>
          <w:rPr>
            <w:noProof/>
            <w:webHidden/>
          </w:rPr>
          <w:fldChar w:fldCharType="separate"/>
        </w:r>
        <w:r w:rsidR="00FA7D06">
          <w:rPr>
            <w:noProof/>
            <w:webHidden/>
          </w:rPr>
          <w:t>17</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56" w:history="1">
        <w:r w:rsidR="00FA7D06" w:rsidRPr="00C50DD6">
          <w:rPr>
            <w:rStyle w:val="affc"/>
            <w:rFonts w:eastAsia="Times New Roman"/>
            <w:noProof/>
          </w:rPr>
          <w:t>3.2Хирургическое лечение</w:t>
        </w:r>
        <w:r w:rsidR="00FA7D06">
          <w:rPr>
            <w:noProof/>
            <w:webHidden/>
          </w:rPr>
          <w:tab/>
        </w:r>
        <w:r>
          <w:rPr>
            <w:noProof/>
            <w:webHidden/>
          </w:rPr>
          <w:fldChar w:fldCharType="begin"/>
        </w:r>
        <w:r w:rsidR="00FA7D06">
          <w:rPr>
            <w:noProof/>
            <w:webHidden/>
          </w:rPr>
          <w:instrText xml:space="preserve"> PAGEREF _Toc36831356 \h </w:instrText>
        </w:r>
        <w:r>
          <w:rPr>
            <w:noProof/>
            <w:webHidden/>
          </w:rPr>
        </w:r>
        <w:r>
          <w:rPr>
            <w:noProof/>
            <w:webHidden/>
          </w:rPr>
          <w:fldChar w:fldCharType="separate"/>
        </w:r>
        <w:r w:rsidR="00FA7D06">
          <w:rPr>
            <w:noProof/>
            <w:webHidden/>
          </w:rPr>
          <w:t>23</w:t>
        </w:r>
        <w:r>
          <w:rPr>
            <w:noProof/>
            <w:webHidden/>
          </w:rPr>
          <w:fldChar w:fldCharType="end"/>
        </w:r>
      </w:hyperlink>
    </w:p>
    <w:p w:rsidR="00FA7D06" w:rsidRDefault="008C10E4">
      <w:pPr>
        <w:pStyle w:val="21"/>
        <w:rPr>
          <w:rFonts w:asciiTheme="minorHAnsi" w:eastAsiaTheme="minorEastAsia" w:hAnsiTheme="minorHAnsi" w:cstheme="minorBidi"/>
          <w:noProof/>
          <w:lang w:eastAsia="ru-RU"/>
        </w:rPr>
      </w:pPr>
      <w:hyperlink w:anchor="_Toc36831357" w:history="1">
        <w:r w:rsidR="00FA7D06" w:rsidRPr="00C50DD6">
          <w:rPr>
            <w:rStyle w:val="affc"/>
            <w:noProof/>
          </w:rPr>
          <w:t>3.3 Иное лечение</w:t>
        </w:r>
        <w:r w:rsidR="00FA7D06">
          <w:rPr>
            <w:noProof/>
            <w:webHidden/>
          </w:rPr>
          <w:tab/>
        </w:r>
        <w:r>
          <w:rPr>
            <w:noProof/>
            <w:webHidden/>
          </w:rPr>
          <w:fldChar w:fldCharType="begin"/>
        </w:r>
        <w:r w:rsidR="00FA7D06">
          <w:rPr>
            <w:noProof/>
            <w:webHidden/>
          </w:rPr>
          <w:instrText xml:space="preserve"> PAGEREF _Toc36831357 \h </w:instrText>
        </w:r>
        <w:r>
          <w:rPr>
            <w:noProof/>
            <w:webHidden/>
          </w:rPr>
        </w:r>
        <w:r>
          <w:rPr>
            <w:noProof/>
            <w:webHidden/>
          </w:rPr>
          <w:fldChar w:fldCharType="separate"/>
        </w:r>
        <w:r w:rsidR="00FA7D06">
          <w:rPr>
            <w:noProof/>
            <w:webHidden/>
          </w:rPr>
          <w:t>24</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58" w:history="1">
        <w:r w:rsidR="00FA7D06" w:rsidRPr="00C50DD6">
          <w:rPr>
            <w:rStyle w:val="affc"/>
            <w:noProof/>
          </w:rPr>
          <w:t>4. Медицинская реабилитация, медицинские показания и противопоказания к применению методов реабилитации</w:t>
        </w:r>
        <w:r w:rsidR="00FA7D06">
          <w:rPr>
            <w:noProof/>
            <w:webHidden/>
          </w:rPr>
          <w:tab/>
        </w:r>
        <w:r>
          <w:rPr>
            <w:noProof/>
            <w:webHidden/>
          </w:rPr>
          <w:fldChar w:fldCharType="begin"/>
        </w:r>
        <w:r w:rsidR="00FA7D06">
          <w:rPr>
            <w:noProof/>
            <w:webHidden/>
          </w:rPr>
          <w:instrText xml:space="preserve"> PAGEREF _Toc36831358 \h </w:instrText>
        </w:r>
        <w:r>
          <w:rPr>
            <w:noProof/>
            <w:webHidden/>
          </w:rPr>
        </w:r>
        <w:r>
          <w:rPr>
            <w:noProof/>
            <w:webHidden/>
          </w:rPr>
          <w:fldChar w:fldCharType="separate"/>
        </w:r>
        <w:r w:rsidR="00FA7D06">
          <w:rPr>
            <w:noProof/>
            <w:webHidden/>
          </w:rPr>
          <w:t>25</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59" w:history="1">
        <w:r w:rsidR="00FA7D06" w:rsidRPr="00C50DD6">
          <w:rPr>
            <w:rStyle w:val="affc"/>
            <w:noProof/>
          </w:rPr>
          <w:t>5. Профилактика и диспансерное наблюдение, медицинские показания и противопоказания к применению методов профилактики</w:t>
        </w:r>
        <w:r w:rsidR="00FA7D06">
          <w:rPr>
            <w:noProof/>
            <w:webHidden/>
          </w:rPr>
          <w:tab/>
        </w:r>
        <w:r>
          <w:rPr>
            <w:noProof/>
            <w:webHidden/>
          </w:rPr>
          <w:fldChar w:fldCharType="begin"/>
        </w:r>
        <w:r w:rsidR="00FA7D06">
          <w:rPr>
            <w:noProof/>
            <w:webHidden/>
          </w:rPr>
          <w:instrText xml:space="preserve"> PAGEREF _Toc36831359 \h </w:instrText>
        </w:r>
        <w:r>
          <w:rPr>
            <w:noProof/>
            <w:webHidden/>
          </w:rPr>
        </w:r>
        <w:r>
          <w:rPr>
            <w:noProof/>
            <w:webHidden/>
          </w:rPr>
          <w:fldChar w:fldCharType="separate"/>
        </w:r>
        <w:r w:rsidR="00FA7D06">
          <w:rPr>
            <w:noProof/>
            <w:webHidden/>
          </w:rPr>
          <w:t>26</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60" w:history="1">
        <w:r w:rsidR="00FA7D06" w:rsidRPr="00C50DD6">
          <w:rPr>
            <w:rStyle w:val="affc"/>
            <w:noProof/>
          </w:rPr>
          <w:t>6. Организация оказания медицинской помощи</w:t>
        </w:r>
        <w:r w:rsidR="00FA7D06">
          <w:rPr>
            <w:noProof/>
            <w:webHidden/>
          </w:rPr>
          <w:tab/>
        </w:r>
        <w:r>
          <w:rPr>
            <w:noProof/>
            <w:webHidden/>
          </w:rPr>
          <w:fldChar w:fldCharType="begin"/>
        </w:r>
        <w:r w:rsidR="00FA7D06">
          <w:rPr>
            <w:noProof/>
            <w:webHidden/>
          </w:rPr>
          <w:instrText xml:space="preserve"> PAGEREF _Toc36831360 \h </w:instrText>
        </w:r>
        <w:r>
          <w:rPr>
            <w:noProof/>
            <w:webHidden/>
          </w:rPr>
        </w:r>
        <w:r>
          <w:rPr>
            <w:noProof/>
            <w:webHidden/>
          </w:rPr>
          <w:fldChar w:fldCharType="separate"/>
        </w:r>
        <w:r w:rsidR="00FA7D06">
          <w:rPr>
            <w:noProof/>
            <w:webHidden/>
          </w:rPr>
          <w:t>26</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61" w:history="1">
        <w:r w:rsidR="00FA7D06" w:rsidRPr="00C50DD6">
          <w:rPr>
            <w:rStyle w:val="affc"/>
            <w:noProof/>
          </w:rPr>
          <w:t>7. Дополнительная информация (в том числе факторы, влияющие на исход заболевания или состояния)</w:t>
        </w:r>
        <w:r w:rsidR="00FA7D06">
          <w:rPr>
            <w:noProof/>
            <w:webHidden/>
          </w:rPr>
          <w:tab/>
        </w:r>
        <w:r>
          <w:rPr>
            <w:noProof/>
            <w:webHidden/>
          </w:rPr>
          <w:fldChar w:fldCharType="begin"/>
        </w:r>
        <w:r w:rsidR="00FA7D06">
          <w:rPr>
            <w:noProof/>
            <w:webHidden/>
          </w:rPr>
          <w:instrText xml:space="preserve"> PAGEREF _Toc36831361 \h </w:instrText>
        </w:r>
        <w:r>
          <w:rPr>
            <w:noProof/>
            <w:webHidden/>
          </w:rPr>
        </w:r>
        <w:r>
          <w:rPr>
            <w:noProof/>
            <w:webHidden/>
          </w:rPr>
          <w:fldChar w:fldCharType="separate"/>
        </w:r>
        <w:r w:rsidR="00FA7D06">
          <w:rPr>
            <w:noProof/>
            <w:webHidden/>
          </w:rPr>
          <w:t>28</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62" w:history="1">
        <w:r w:rsidR="00FA7D06" w:rsidRPr="00C50DD6">
          <w:rPr>
            <w:rStyle w:val="affc"/>
            <w:noProof/>
          </w:rPr>
          <w:t>Критерии оценки качества медицинской помощи</w:t>
        </w:r>
        <w:r w:rsidR="00FA7D06">
          <w:rPr>
            <w:noProof/>
            <w:webHidden/>
          </w:rPr>
          <w:tab/>
        </w:r>
        <w:r>
          <w:rPr>
            <w:noProof/>
            <w:webHidden/>
          </w:rPr>
          <w:fldChar w:fldCharType="begin"/>
        </w:r>
        <w:r w:rsidR="00FA7D06">
          <w:rPr>
            <w:noProof/>
            <w:webHidden/>
          </w:rPr>
          <w:instrText xml:space="preserve"> PAGEREF _Toc36831362 \h </w:instrText>
        </w:r>
        <w:r>
          <w:rPr>
            <w:noProof/>
            <w:webHidden/>
          </w:rPr>
        </w:r>
        <w:r>
          <w:rPr>
            <w:noProof/>
            <w:webHidden/>
          </w:rPr>
          <w:fldChar w:fldCharType="separate"/>
        </w:r>
        <w:r w:rsidR="00FA7D06">
          <w:rPr>
            <w:noProof/>
            <w:webHidden/>
          </w:rPr>
          <w:t>28</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63" w:history="1">
        <w:r w:rsidR="00FA7D06" w:rsidRPr="00C50DD6">
          <w:rPr>
            <w:rStyle w:val="affc"/>
            <w:noProof/>
          </w:rPr>
          <w:t>Список литературы</w:t>
        </w:r>
        <w:r w:rsidR="00FA7D06">
          <w:rPr>
            <w:noProof/>
            <w:webHidden/>
          </w:rPr>
          <w:tab/>
        </w:r>
        <w:r>
          <w:rPr>
            <w:noProof/>
            <w:webHidden/>
          </w:rPr>
          <w:fldChar w:fldCharType="begin"/>
        </w:r>
        <w:r w:rsidR="00FA7D06">
          <w:rPr>
            <w:noProof/>
            <w:webHidden/>
          </w:rPr>
          <w:instrText xml:space="preserve"> PAGEREF _Toc36831363 \h </w:instrText>
        </w:r>
        <w:r>
          <w:rPr>
            <w:noProof/>
            <w:webHidden/>
          </w:rPr>
        </w:r>
        <w:r>
          <w:rPr>
            <w:noProof/>
            <w:webHidden/>
          </w:rPr>
          <w:fldChar w:fldCharType="separate"/>
        </w:r>
        <w:r w:rsidR="00FA7D06">
          <w:rPr>
            <w:noProof/>
            <w:webHidden/>
          </w:rPr>
          <w:t>29</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64" w:history="1">
        <w:r w:rsidR="00FA7D06" w:rsidRPr="00C50DD6">
          <w:rPr>
            <w:rStyle w:val="affc"/>
            <w:noProof/>
          </w:rPr>
          <w:t>Приложение А1. Состав рабочей группы по разработке и пересмотру клинических рекомендаций</w:t>
        </w:r>
        <w:r w:rsidR="00FA7D06">
          <w:rPr>
            <w:noProof/>
            <w:webHidden/>
          </w:rPr>
          <w:tab/>
        </w:r>
        <w:r>
          <w:rPr>
            <w:noProof/>
            <w:webHidden/>
          </w:rPr>
          <w:fldChar w:fldCharType="begin"/>
        </w:r>
        <w:r w:rsidR="00FA7D06">
          <w:rPr>
            <w:noProof/>
            <w:webHidden/>
          </w:rPr>
          <w:instrText xml:space="preserve"> PAGEREF _Toc36831364 \h </w:instrText>
        </w:r>
        <w:r>
          <w:rPr>
            <w:noProof/>
            <w:webHidden/>
          </w:rPr>
        </w:r>
        <w:r>
          <w:rPr>
            <w:noProof/>
            <w:webHidden/>
          </w:rPr>
          <w:fldChar w:fldCharType="separate"/>
        </w:r>
        <w:r w:rsidR="00FA7D06">
          <w:rPr>
            <w:noProof/>
            <w:webHidden/>
          </w:rPr>
          <w:t>34</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65" w:history="1">
        <w:r w:rsidR="00FA7D06" w:rsidRPr="00C50DD6">
          <w:rPr>
            <w:rStyle w:val="affc"/>
            <w:noProof/>
          </w:rPr>
          <w:t>Приложение А2. Методология разработки клинических рекомендаций</w:t>
        </w:r>
        <w:r w:rsidR="00FA7D06">
          <w:rPr>
            <w:noProof/>
            <w:webHidden/>
          </w:rPr>
          <w:tab/>
        </w:r>
        <w:r>
          <w:rPr>
            <w:noProof/>
            <w:webHidden/>
          </w:rPr>
          <w:fldChar w:fldCharType="begin"/>
        </w:r>
        <w:r w:rsidR="00FA7D06">
          <w:rPr>
            <w:noProof/>
            <w:webHidden/>
          </w:rPr>
          <w:instrText xml:space="preserve"> PAGEREF _Toc36831365 \h </w:instrText>
        </w:r>
        <w:r>
          <w:rPr>
            <w:noProof/>
            <w:webHidden/>
          </w:rPr>
        </w:r>
        <w:r>
          <w:rPr>
            <w:noProof/>
            <w:webHidden/>
          </w:rPr>
          <w:fldChar w:fldCharType="separate"/>
        </w:r>
        <w:r w:rsidR="00FA7D06">
          <w:rPr>
            <w:noProof/>
            <w:webHidden/>
          </w:rPr>
          <w:t>35</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66" w:history="1">
        <w:r w:rsidR="00FA7D06" w:rsidRPr="00C50DD6">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FA7D06">
          <w:rPr>
            <w:noProof/>
            <w:webHidden/>
          </w:rPr>
          <w:tab/>
        </w:r>
        <w:r>
          <w:rPr>
            <w:noProof/>
            <w:webHidden/>
          </w:rPr>
          <w:fldChar w:fldCharType="begin"/>
        </w:r>
        <w:r w:rsidR="00FA7D06">
          <w:rPr>
            <w:noProof/>
            <w:webHidden/>
          </w:rPr>
          <w:instrText xml:space="preserve"> PAGEREF _Toc36831366 \h </w:instrText>
        </w:r>
        <w:r>
          <w:rPr>
            <w:noProof/>
            <w:webHidden/>
          </w:rPr>
        </w:r>
        <w:r>
          <w:rPr>
            <w:noProof/>
            <w:webHidden/>
          </w:rPr>
          <w:fldChar w:fldCharType="separate"/>
        </w:r>
        <w:r w:rsidR="00FA7D06">
          <w:rPr>
            <w:noProof/>
            <w:webHidden/>
          </w:rPr>
          <w:t>37</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67" w:history="1">
        <w:r w:rsidR="00FA7D06" w:rsidRPr="00C50DD6">
          <w:rPr>
            <w:rStyle w:val="affc"/>
            <w:noProof/>
          </w:rPr>
          <w:t>Приложение Б. Алгоритмы действий врача</w:t>
        </w:r>
        <w:r w:rsidR="00FA7D06">
          <w:rPr>
            <w:noProof/>
            <w:webHidden/>
          </w:rPr>
          <w:tab/>
        </w:r>
        <w:r>
          <w:rPr>
            <w:noProof/>
            <w:webHidden/>
          </w:rPr>
          <w:fldChar w:fldCharType="begin"/>
        </w:r>
        <w:r w:rsidR="00FA7D06">
          <w:rPr>
            <w:noProof/>
            <w:webHidden/>
          </w:rPr>
          <w:instrText xml:space="preserve"> PAGEREF _Toc36831367 \h </w:instrText>
        </w:r>
        <w:r>
          <w:rPr>
            <w:noProof/>
            <w:webHidden/>
          </w:rPr>
        </w:r>
        <w:r>
          <w:rPr>
            <w:noProof/>
            <w:webHidden/>
          </w:rPr>
          <w:fldChar w:fldCharType="separate"/>
        </w:r>
        <w:r w:rsidR="00FA7D06">
          <w:rPr>
            <w:noProof/>
            <w:webHidden/>
          </w:rPr>
          <w:t>38</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68" w:history="1">
        <w:r w:rsidR="00FA7D06" w:rsidRPr="00C50DD6">
          <w:rPr>
            <w:rStyle w:val="affc"/>
            <w:noProof/>
          </w:rPr>
          <w:t>Приложение В. Информация для пациента</w:t>
        </w:r>
        <w:r w:rsidR="00FA7D06">
          <w:rPr>
            <w:noProof/>
            <w:webHidden/>
          </w:rPr>
          <w:tab/>
        </w:r>
        <w:r>
          <w:rPr>
            <w:noProof/>
            <w:webHidden/>
          </w:rPr>
          <w:fldChar w:fldCharType="begin"/>
        </w:r>
        <w:r w:rsidR="00FA7D06">
          <w:rPr>
            <w:noProof/>
            <w:webHidden/>
          </w:rPr>
          <w:instrText xml:space="preserve"> PAGEREF _Toc36831368 \h </w:instrText>
        </w:r>
        <w:r>
          <w:rPr>
            <w:noProof/>
            <w:webHidden/>
          </w:rPr>
        </w:r>
        <w:r>
          <w:rPr>
            <w:noProof/>
            <w:webHidden/>
          </w:rPr>
          <w:fldChar w:fldCharType="separate"/>
        </w:r>
        <w:r w:rsidR="00FA7D06">
          <w:rPr>
            <w:noProof/>
            <w:webHidden/>
          </w:rPr>
          <w:t>39</w:t>
        </w:r>
        <w:r>
          <w:rPr>
            <w:noProof/>
            <w:webHidden/>
          </w:rPr>
          <w:fldChar w:fldCharType="end"/>
        </w:r>
      </w:hyperlink>
    </w:p>
    <w:p w:rsidR="00FA7D06" w:rsidRDefault="008C10E4">
      <w:pPr>
        <w:pStyle w:val="15"/>
        <w:rPr>
          <w:rFonts w:asciiTheme="minorHAnsi" w:eastAsiaTheme="minorEastAsia" w:hAnsiTheme="minorHAnsi" w:cstheme="minorBidi"/>
          <w:noProof/>
          <w:sz w:val="22"/>
          <w:lang w:eastAsia="ru-RU"/>
        </w:rPr>
      </w:pPr>
      <w:hyperlink w:anchor="_Toc36831369" w:history="1">
        <w:r w:rsidR="00FA7D06" w:rsidRPr="00C50DD6">
          <w:rPr>
            <w:rStyle w:val="affc"/>
            <w:noProof/>
          </w:rPr>
          <w:t xml:space="preserve">Приложение Г1. </w:t>
        </w:r>
        <w:r w:rsidR="00FA7D06" w:rsidRPr="00C50DD6">
          <w:rPr>
            <w:rStyle w:val="affc"/>
            <w:rFonts w:eastAsia="Times New Roman" w:cs="Calibri"/>
            <w:noProof/>
            <w:lang w:eastAsia="ru-RU"/>
          </w:rPr>
          <w:t xml:space="preserve">Стадирование грибовидного микоза/синдрома Сезари согласно рекомендациям </w:t>
        </w:r>
        <w:r w:rsidR="00FA7D06" w:rsidRPr="00C50DD6">
          <w:rPr>
            <w:rStyle w:val="affc"/>
            <w:rFonts w:eastAsia="Times New Roman" w:cs="Calibri"/>
            <w:noProof/>
            <w:lang w:val="en-US" w:eastAsia="ru-RU"/>
          </w:rPr>
          <w:t>ISLE</w:t>
        </w:r>
        <w:r w:rsidR="00FA7D06" w:rsidRPr="00C50DD6">
          <w:rPr>
            <w:rStyle w:val="affc"/>
            <w:rFonts w:eastAsia="Times New Roman" w:cs="Calibri"/>
            <w:noProof/>
            <w:lang w:eastAsia="ru-RU"/>
          </w:rPr>
          <w:t>-</w:t>
        </w:r>
        <w:r w:rsidR="00FA7D06" w:rsidRPr="00C50DD6">
          <w:rPr>
            <w:rStyle w:val="affc"/>
            <w:rFonts w:eastAsia="Times New Roman" w:cs="Calibri"/>
            <w:noProof/>
            <w:lang w:val="en-US" w:eastAsia="ru-RU"/>
          </w:rPr>
          <w:t>EORTC</w:t>
        </w:r>
        <w:r w:rsidR="00FA7D06">
          <w:rPr>
            <w:noProof/>
            <w:webHidden/>
          </w:rPr>
          <w:tab/>
        </w:r>
        <w:r>
          <w:rPr>
            <w:noProof/>
            <w:webHidden/>
          </w:rPr>
          <w:fldChar w:fldCharType="begin"/>
        </w:r>
        <w:r w:rsidR="00FA7D06">
          <w:rPr>
            <w:noProof/>
            <w:webHidden/>
          </w:rPr>
          <w:instrText xml:space="preserve"> PAGEREF _Toc36831369 \h </w:instrText>
        </w:r>
        <w:r>
          <w:rPr>
            <w:noProof/>
            <w:webHidden/>
          </w:rPr>
        </w:r>
        <w:r>
          <w:rPr>
            <w:noProof/>
            <w:webHidden/>
          </w:rPr>
          <w:fldChar w:fldCharType="separate"/>
        </w:r>
        <w:r w:rsidR="00FA7D06">
          <w:rPr>
            <w:noProof/>
            <w:webHidden/>
          </w:rPr>
          <w:t>40</w:t>
        </w:r>
        <w:r>
          <w:rPr>
            <w:noProof/>
            <w:webHidden/>
          </w:rPr>
          <w:fldChar w:fldCharType="end"/>
        </w:r>
      </w:hyperlink>
    </w:p>
    <w:p w:rsidR="00172112" w:rsidRDefault="008C10E4" w:rsidP="00A86E5F">
      <w:r w:rsidRPr="00877EF5">
        <w:rPr>
          <w:b/>
          <w:bCs/>
          <w:szCs w:val="24"/>
        </w:rPr>
        <w:fldChar w:fldCharType="end"/>
      </w:r>
    </w:p>
    <w:p w:rsidR="00172112" w:rsidRDefault="00172112" w:rsidP="00172112"/>
    <w:p w:rsidR="00172112" w:rsidRDefault="00172112" w:rsidP="00D01F66">
      <w:pPr>
        <w:pStyle w:val="aff9"/>
        <w:rPr>
          <w:sz w:val="28"/>
        </w:rPr>
      </w:pPr>
      <w:r>
        <w:br w:type="page"/>
      </w:r>
    </w:p>
    <w:p w:rsidR="000414F6" w:rsidRDefault="00CB71DA" w:rsidP="00C4630C">
      <w:pPr>
        <w:pStyle w:val="afff1"/>
      </w:pPr>
      <w:bookmarkStart w:id="3" w:name="__RefHeading___doc_abbreviation"/>
      <w:bookmarkStart w:id="4" w:name="_Toc36831339"/>
      <w:bookmarkStart w:id="5" w:name="_Toc34301072"/>
      <w:r>
        <w:lastRenderedPageBreak/>
        <w:t>Список сокращений</w:t>
      </w:r>
      <w:bookmarkEnd w:id="3"/>
      <w:bookmarkEnd w:id="4"/>
      <w:bookmarkEnd w:id="5"/>
    </w:p>
    <w:p w:rsidR="006E41C5" w:rsidRPr="008B253D" w:rsidRDefault="006E41C5" w:rsidP="006E41C5">
      <w:pPr>
        <w:ind w:left="357"/>
        <w:divId w:val="1653948401"/>
        <w:rPr>
          <w:szCs w:val="24"/>
        </w:rPr>
      </w:pPr>
      <w:r w:rsidRPr="008B253D">
        <w:rPr>
          <w:szCs w:val="24"/>
        </w:rPr>
        <w:t>ПУВА – псорален+ультрафиолетовое облучение спектра А</w:t>
      </w:r>
    </w:p>
    <w:p w:rsidR="003F054F" w:rsidRPr="008B253D" w:rsidRDefault="003F054F" w:rsidP="006E41C5">
      <w:pPr>
        <w:ind w:left="357"/>
        <w:divId w:val="1653948401"/>
        <w:rPr>
          <w:szCs w:val="24"/>
        </w:rPr>
      </w:pPr>
      <w:r>
        <w:rPr>
          <w:szCs w:val="24"/>
        </w:rPr>
        <w:t xml:space="preserve">РФП </w:t>
      </w:r>
      <w:r w:rsidRPr="007B5DF2">
        <w:rPr>
          <w:szCs w:val="24"/>
        </w:rPr>
        <w:t>–</w:t>
      </w:r>
      <w:r>
        <w:rPr>
          <w:szCs w:val="24"/>
        </w:rPr>
        <w:t xml:space="preserve"> радиофармпрепарат</w:t>
      </w:r>
    </w:p>
    <w:p w:rsidR="006E41C5" w:rsidRPr="008B253D" w:rsidRDefault="006E41C5" w:rsidP="006E41C5">
      <w:pPr>
        <w:ind w:left="357"/>
        <w:divId w:val="1653948401"/>
        <w:rPr>
          <w:szCs w:val="24"/>
        </w:rPr>
      </w:pPr>
      <w:r w:rsidRPr="007B5DF2">
        <w:rPr>
          <w:szCs w:val="24"/>
        </w:rPr>
        <w:t>ТОК – тотальное облучение кожи</w:t>
      </w:r>
    </w:p>
    <w:p w:rsidR="006E41C5" w:rsidRDefault="006E41C5" w:rsidP="006E41C5">
      <w:pPr>
        <w:ind w:left="357"/>
        <w:divId w:val="1653948401"/>
        <w:rPr>
          <w:szCs w:val="24"/>
        </w:rPr>
      </w:pPr>
      <w:r w:rsidRPr="008B253D">
        <w:rPr>
          <w:szCs w:val="24"/>
        </w:rPr>
        <w:t>ТКР – Т-клеточный рецептор</w:t>
      </w:r>
    </w:p>
    <w:p w:rsidR="006E41C5" w:rsidRPr="008B253D" w:rsidRDefault="006E41C5" w:rsidP="006E41C5">
      <w:pPr>
        <w:ind w:left="357"/>
        <w:divId w:val="1653948401"/>
        <w:rPr>
          <w:szCs w:val="24"/>
        </w:rPr>
      </w:pPr>
      <w:r w:rsidRPr="008B253D">
        <w:rPr>
          <w:szCs w:val="24"/>
        </w:rPr>
        <w:t>Э-КТКЛ – эритродермическая кожная Т-клеточная лимфома</w:t>
      </w:r>
    </w:p>
    <w:p w:rsidR="008A24EB" w:rsidRDefault="008A24EB" w:rsidP="006E41C5">
      <w:pPr>
        <w:pStyle w:val="afff"/>
        <w:divId w:val="1653948401"/>
      </w:pPr>
    </w:p>
    <w:p w:rsidR="000414F6" w:rsidRDefault="00CB71DA" w:rsidP="00C50E9F">
      <w:pPr>
        <w:pStyle w:val="CustomContentNormal"/>
        <w:outlineLvl w:val="1"/>
      </w:pPr>
      <w:r>
        <w:br w:type="page"/>
      </w:r>
      <w:bookmarkStart w:id="6" w:name="__RefHeading___doc_terms"/>
      <w:bookmarkStart w:id="7" w:name="_Toc36831340"/>
      <w:bookmarkStart w:id="8" w:name="_Toc34301073"/>
      <w:r>
        <w:lastRenderedPageBreak/>
        <w:t>Термины и определения</w:t>
      </w:r>
      <w:bookmarkEnd w:id="6"/>
      <w:bookmarkEnd w:id="7"/>
      <w:bookmarkEnd w:id="8"/>
    </w:p>
    <w:p w:rsidR="001D40F8" w:rsidRPr="0021676E" w:rsidRDefault="006E41C5" w:rsidP="0021676E">
      <w:r w:rsidRPr="00511563">
        <w:t>Синдром Сезари</w:t>
      </w:r>
      <w:r w:rsidR="00FA7D06">
        <w:t xml:space="preserve"> </w:t>
      </w:r>
      <w:r>
        <w:t xml:space="preserve">– </w:t>
      </w:r>
      <w:r w:rsidRPr="00511563">
        <w:t>Т-клеточн</w:t>
      </w:r>
      <w:r>
        <w:t>ая</w:t>
      </w:r>
      <w:r w:rsidRPr="00511563">
        <w:t xml:space="preserve"> лимфом</w:t>
      </w:r>
      <w:r>
        <w:t>а</w:t>
      </w:r>
      <w:r w:rsidRPr="00511563">
        <w:t xml:space="preserve"> кожи, характеризующ</w:t>
      </w:r>
      <w:r>
        <w:t>ая</w:t>
      </w:r>
      <w:r w:rsidRPr="00511563">
        <w:t xml:space="preserve">ся эритродермией, </w:t>
      </w:r>
      <w:r w:rsidRPr="00611236">
        <w:t>генерализованной лимфаденопатией и наличием в крови циркулирующих</w:t>
      </w:r>
      <w:r w:rsidR="00222CBB" w:rsidRPr="00222CBB">
        <w:rPr>
          <w:strike/>
        </w:rPr>
        <w:t xml:space="preserve"> </w:t>
      </w:r>
      <w:r w:rsidRPr="00611236">
        <w:t>злокачественных Т-</w:t>
      </w:r>
      <w:r w:rsidR="00234268" w:rsidRPr="00611236">
        <w:t>лимфоцитов</w:t>
      </w:r>
      <w:r w:rsidRPr="00511563">
        <w:t xml:space="preserve"> (клеток Сезари).</w:t>
      </w:r>
    </w:p>
    <w:p w:rsidR="001D40F8" w:rsidRPr="001D40F8" w:rsidRDefault="001D40F8" w:rsidP="00924161">
      <w:pPr>
        <w:rPr>
          <w:szCs w:val="24"/>
        </w:rPr>
      </w:pPr>
    </w:p>
    <w:p w:rsidR="00275A41" w:rsidRDefault="00CB71DA" w:rsidP="00924161">
      <w:pPr>
        <w:pStyle w:val="afb"/>
        <w:spacing w:beforeAutospacing="0" w:afterAutospacing="0" w:line="360" w:lineRule="auto"/>
        <w:divId w:val="576134796"/>
      </w:pPr>
      <w:r>
        <w:t>                                   </w:t>
      </w:r>
    </w:p>
    <w:p w:rsidR="00B8195D" w:rsidRDefault="00CB71DA" w:rsidP="00F81854">
      <w:pPr>
        <w:pStyle w:val="afff1"/>
      </w:pPr>
      <w:r>
        <w:br w:type="page"/>
      </w:r>
      <w:bookmarkStart w:id="9" w:name="__RefHeading___doc_1"/>
    </w:p>
    <w:p w:rsidR="000414F6" w:rsidRDefault="00CB71DA" w:rsidP="00C4630C">
      <w:pPr>
        <w:pStyle w:val="afff1"/>
      </w:pPr>
      <w:bookmarkStart w:id="10" w:name="_Toc36831341"/>
      <w:bookmarkStart w:id="11" w:name="_Toc34301074"/>
      <w:r>
        <w:lastRenderedPageBreak/>
        <w:t>1. Краткая информация</w:t>
      </w:r>
      <w:bookmarkEnd w:id="9"/>
      <w:r w:rsidR="00384B6A">
        <w:t xml:space="preserve"> по заболеванию или состоянию (группе заболеваний или состояний)</w:t>
      </w:r>
      <w:bookmarkEnd w:id="10"/>
      <w:bookmarkEnd w:id="11"/>
    </w:p>
    <w:p w:rsidR="00B46390" w:rsidRPr="00311757" w:rsidRDefault="00B46390" w:rsidP="0021676E">
      <w:pPr>
        <w:pStyle w:val="2"/>
      </w:pPr>
      <w:bookmarkStart w:id="12" w:name="_Toc469402330"/>
      <w:bookmarkStart w:id="13" w:name="_Toc468273527"/>
      <w:bookmarkStart w:id="14" w:name="_Toc468273445"/>
      <w:bookmarkStart w:id="15" w:name="_Toc36831342"/>
      <w:bookmarkStart w:id="16" w:name="_Toc34301075"/>
      <w:bookmarkStart w:id="17" w:name="__RefHeading___doc_2"/>
      <w:bookmarkEnd w:id="12"/>
      <w:bookmarkEnd w:id="13"/>
      <w:bookmarkEnd w:id="14"/>
      <w:r w:rsidRPr="00B46390">
        <w:t xml:space="preserve">1.1 </w:t>
      </w:r>
      <w:r w:rsidRPr="00311757">
        <w:t>Определение</w:t>
      </w:r>
      <w:r w:rsidR="002D1A94">
        <w:t xml:space="preserve"> </w:t>
      </w:r>
      <w:r w:rsidR="00311757" w:rsidRPr="00311757">
        <w:rPr>
          <w:color w:val="333333"/>
          <w:shd w:val="clear" w:color="auto" w:fill="FFFFFF"/>
        </w:rPr>
        <w:t>заболевания или состояния (группы заболеваний или состояний)</w:t>
      </w:r>
      <w:bookmarkEnd w:id="15"/>
      <w:bookmarkEnd w:id="16"/>
    </w:p>
    <w:p w:rsidR="00EE59C2" w:rsidRPr="00B104EF" w:rsidRDefault="006E41C5" w:rsidP="0021676E">
      <w:pPr>
        <w:pStyle w:val="18"/>
      </w:pPr>
      <w:r w:rsidRPr="00511563">
        <w:t xml:space="preserve">Синдром Сезари (СС) представляет собой Т-клеточную лимфому кожи, характеризующуюся эритродермией, генерализованной лимфаденопатией </w:t>
      </w:r>
      <w:r w:rsidRPr="00B032D2">
        <w:t>и наличием в крови циркулирующих злокачественных Т-</w:t>
      </w:r>
      <w:r w:rsidRPr="00611236">
        <w:t>лимфоцитов</w:t>
      </w:r>
      <w:r w:rsidRPr="00B032D2">
        <w:t xml:space="preserve"> (клеток Сезари).</w:t>
      </w:r>
    </w:p>
    <w:p w:rsidR="00B46390" w:rsidRPr="00311757" w:rsidRDefault="00B46390" w:rsidP="00172112">
      <w:pPr>
        <w:pStyle w:val="2"/>
      </w:pPr>
      <w:bookmarkStart w:id="18" w:name="_Toc36831343"/>
      <w:bookmarkStart w:id="19" w:name="_Toc34301076"/>
      <w:r w:rsidRPr="00B46390">
        <w:t xml:space="preserve">1.2 </w:t>
      </w:r>
      <w:r w:rsidRPr="00311757">
        <w:t>Этиология и патогенез</w:t>
      </w:r>
      <w:r w:rsidR="009119D3">
        <w:t xml:space="preserve"> </w:t>
      </w:r>
      <w:r w:rsidR="00311757" w:rsidRPr="00311757">
        <w:rPr>
          <w:color w:val="333333"/>
          <w:shd w:val="clear" w:color="auto" w:fill="FFFFFF"/>
        </w:rPr>
        <w:t>заболевания или состояния (группы заболеваний или состояний)</w:t>
      </w:r>
      <w:bookmarkEnd w:id="18"/>
      <w:bookmarkEnd w:id="19"/>
    </w:p>
    <w:p w:rsidR="006E41C5" w:rsidRPr="00EC7CF1" w:rsidRDefault="006E41C5" w:rsidP="0021676E">
      <w:pPr>
        <w:pStyle w:val="18"/>
        <w:rPr>
          <w:rFonts w:eastAsia="TimesLTStd-Roman" w:cs="TimesLTStd-Roman"/>
          <w:color w:val="000000"/>
        </w:rPr>
      </w:pPr>
      <w:r>
        <w:rPr>
          <w:rFonts w:eastAsia="TimesLTStd-Roman" w:cs="TimesLTStd-Roman"/>
          <w:color w:val="000000"/>
        </w:rPr>
        <w:t>Причины развития</w:t>
      </w:r>
      <w:r w:rsidRPr="006E41C5">
        <w:rPr>
          <w:rFonts w:eastAsia="TimesLTStd-Roman" w:cs="TimesLTStd-Roman"/>
          <w:color w:val="000000"/>
        </w:rPr>
        <w:t xml:space="preserve"> синдрома Сезари неизвестн</w:t>
      </w:r>
      <w:r>
        <w:rPr>
          <w:rFonts w:eastAsia="TimesLTStd-Roman" w:cs="TimesLTStd-Roman"/>
          <w:color w:val="000000"/>
        </w:rPr>
        <w:t>ы</w:t>
      </w:r>
      <w:r w:rsidRPr="006E41C5">
        <w:rPr>
          <w:rFonts w:eastAsia="TimesLTStd-Roman" w:cs="TimesLTStd-Roman"/>
          <w:color w:val="000000"/>
        </w:rPr>
        <w:t xml:space="preserve">. </w:t>
      </w:r>
      <w:proofErr w:type="spellStart"/>
      <w:r w:rsidR="00F36233">
        <w:rPr>
          <w:rFonts w:eastAsia="TimesLTStd-Roman" w:cs="TimesLTStd-Roman"/>
          <w:color w:val="000000"/>
        </w:rPr>
        <w:t>Иммунофенотипирование</w:t>
      </w:r>
      <w:proofErr w:type="spellEnd"/>
      <w:r w:rsidR="00F36233">
        <w:rPr>
          <w:rFonts w:eastAsia="TimesLTStd-Roman" w:cs="TimesLTStd-Roman"/>
          <w:color w:val="000000"/>
        </w:rPr>
        <w:t xml:space="preserve"> показало, что пролиферирующими злокачественными лимфоцитами, проникающими в кожу, при синдроме </w:t>
      </w:r>
      <w:proofErr w:type="spellStart"/>
      <w:r w:rsidR="00F36233">
        <w:rPr>
          <w:rFonts w:eastAsia="TimesLTStd-Roman" w:cs="TimesLTStd-Roman"/>
          <w:color w:val="000000"/>
        </w:rPr>
        <w:t>Сезари</w:t>
      </w:r>
      <w:proofErr w:type="spellEnd"/>
      <w:r w:rsidR="00F36233">
        <w:rPr>
          <w:rFonts w:eastAsia="TimesLTStd-Roman" w:cs="TimesLTStd-Roman"/>
          <w:color w:val="000000"/>
        </w:rPr>
        <w:t xml:space="preserve"> являются зрелые Т-лимфоциты центральной памяти, </w:t>
      </w:r>
      <w:proofErr w:type="spellStart"/>
      <w:r w:rsidR="00F36233">
        <w:rPr>
          <w:rFonts w:eastAsia="TimesLTStd-Roman" w:cs="TimesLTStd-Roman"/>
          <w:color w:val="000000"/>
        </w:rPr>
        <w:t>экспрессирующие</w:t>
      </w:r>
      <w:proofErr w:type="spellEnd"/>
      <w:r w:rsidR="00F36233">
        <w:rPr>
          <w:rFonts w:eastAsia="TimesLTStd-Roman" w:cs="TimesLTStd-Roman"/>
          <w:color w:val="000000"/>
        </w:rPr>
        <w:t xml:space="preserve"> </w:t>
      </w:r>
      <w:r w:rsidR="00F36233" w:rsidRPr="006E41C5">
        <w:rPr>
          <w:rFonts w:eastAsia="TimesLTStd-Roman" w:cs="TimesLTStd-Roman"/>
          <w:color w:val="000000"/>
          <w:lang w:val="en-US"/>
        </w:rPr>
        <w:t>CD</w:t>
      </w:r>
      <w:r w:rsidR="00F36233" w:rsidRPr="006E41C5">
        <w:rPr>
          <w:rFonts w:eastAsia="TimesLTStd-Roman" w:cs="TimesLTStd-Roman"/>
          <w:color w:val="000000"/>
        </w:rPr>
        <w:t xml:space="preserve">3, </w:t>
      </w:r>
      <w:r w:rsidR="00F36233" w:rsidRPr="006E41C5">
        <w:rPr>
          <w:rFonts w:eastAsia="TimesLTStd-Roman" w:cs="TimesLTStd-Roman"/>
          <w:color w:val="000000"/>
          <w:lang w:val="en-US"/>
        </w:rPr>
        <w:t>CD</w:t>
      </w:r>
      <w:r w:rsidR="00F36233" w:rsidRPr="006E41C5">
        <w:rPr>
          <w:rFonts w:eastAsia="TimesLTStd-Roman" w:cs="TimesLTStd-Roman"/>
          <w:color w:val="000000"/>
        </w:rPr>
        <w:t xml:space="preserve">4, </w:t>
      </w:r>
      <w:r w:rsidR="00F36233" w:rsidRPr="006E41C5">
        <w:rPr>
          <w:rFonts w:eastAsia="TimesLTStd-Roman" w:cs="TimesLTStd-Roman"/>
          <w:color w:val="000000"/>
          <w:lang w:val="en-US"/>
        </w:rPr>
        <w:t>CD</w:t>
      </w:r>
      <w:r w:rsidR="00F36233" w:rsidRPr="006E41C5">
        <w:rPr>
          <w:rFonts w:eastAsia="TimesLTStd-Roman" w:cs="TimesLTStd-Roman"/>
          <w:color w:val="000000"/>
        </w:rPr>
        <w:t>45</w:t>
      </w:r>
      <w:r w:rsidR="00F36233" w:rsidRPr="006E41C5">
        <w:rPr>
          <w:rFonts w:eastAsia="TimesLTStd-Roman" w:cs="TimesLTStd-Roman"/>
          <w:color w:val="000000"/>
          <w:lang w:val="en-US"/>
        </w:rPr>
        <w:t>RO</w:t>
      </w:r>
      <w:r w:rsidR="00F36233" w:rsidRPr="006E41C5">
        <w:rPr>
          <w:rFonts w:eastAsia="TimesLTStd-Roman" w:cs="TimesLTStd-Roman"/>
          <w:color w:val="000000"/>
        </w:rPr>
        <w:t xml:space="preserve"> и </w:t>
      </w:r>
      <w:r w:rsidR="00F36233" w:rsidRPr="006E41C5">
        <w:rPr>
          <w:rFonts w:eastAsia="TimesLTStd-Roman" w:cs="TimesLTStd-Roman"/>
          <w:color w:val="000000"/>
          <w:lang w:val="en-US"/>
        </w:rPr>
        <w:t>CCR</w:t>
      </w:r>
      <w:r w:rsidR="00F36233" w:rsidRPr="006E41C5">
        <w:rPr>
          <w:rFonts w:eastAsia="TimesLTStd-Roman" w:cs="TimesLTStd-Roman"/>
          <w:color w:val="000000"/>
        </w:rPr>
        <w:t xml:space="preserve">4 </w:t>
      </w:r>
      <w:r w:rsidR="00F36233" w:rsidRPr="00F36233">
        <w:rPr>
          <w:rFonts w:eastAsia="TimesLTStd-Roman" w:cs="TimesLTStd-Roman"/>
          <w:color w:val="000000"/>
        </w:rPr>
        <w:t>(</w:t>
      </w:r>
      <w:r w:rsidR="00F36233">
        <w:rPr>
          <w:rFonts w:eastAsia="TimesLTStd-Roman" w:cs="TimesLTStd-Roman"/>
          <w:color w:val="000000"/>
        </w:rPr>
        <w:t xml:space="preserve">маркеры </w:t>
      </w:r>
      <w:r w:rsidR="00F36233" w:rsidRPr="006E41C5">
        <w:rPr>
          <w:rFonts w:eastAsia="TimesLTStd-Roman" w:cs="TimesLTStd-Roman"/>
          <w:color w:val="000000"/>
        </w:rPr>
        <w:t>зрелых Т-лимфоцитов памяти</w:t>
      </w:r>
      <w:r w:rsidR="00F36233">
        <w:rPr>
          <w:rFonts w:eastAsia="TimesLTStd-Roman" w:cs="TimesLTStd-Roman"/>
          <w:color w:val="000000"/>
        </w:rPr>
        <w:t>)</w:t>
      </w:r>
      <w:r w:rsidR="00C833B7">
        <w:rPr>
          <w:rFonts w:eastAsia="TimesLTStd-Roman" w:cs="TimesLTStd-Roman"/>
          <w:color w:val="000000"/>
        </w:rPr>
        <w:t>, а также</w:t>
      </w:r>
      <w:r w:rsidR="009119D3">
        <w:rPr>
          <w:rFonts w:eastAsia="TimesLTStd-Roman" w:cs="TimesLTStd-Roman"/>
          <w:color w:val="000000"/>
        </w:rPr>
        <w:t xml:space="preserve"> </w:t>
      </w:r>
      <w:r w:rsidR="00F36233" w:rsidRPr="006E41C5">
        <w:rPr>
          <w:rFonts w:eastAsia="TimesLTStd-Roman" w:cs="TimesLTStd-Roman"/>
          <w:color w:val="000000"/>
          <w:lang w:val="en-US"/>
        </w:rPr>
        <w:t>CCR</w:t>
      </w:r>
      <w:r w:rsidR="00F36233" w:rsidRPr="006E41C5">
        <w:rPr>
          <w:rFonts w:eastAsia="TimesLTStd-Roman" w:cs="TimesLTStd-Roman"/>
          <w:color w:val="000000"/>
        </w:rPr>
        <w:t xml:space="preserve">7, </w:t>
      </w:r>
      <w:r w:rsidR="00F36233" w:rsidRPr="006E41C5">
        <w:rPr>
          <w:rFonts w:eastAsia="TimesLTStd-Roman" w:cs="TimesLTStd-Roman"/>
          <w:color w:val="000000"/>
          <w:lang w:val="en-US"/>
        </w:rPr>
        <w:t>L</w:t>
      </w:r>
      <w:r w:rsidR="00F36233" w:rsidRPr="006E41C5">
        <w:rPr>
          <w:rFonts w:eastAsia="TimesLTStd-Roman" w:cs="TimesLTStd-Roman"/>
          <w:color w:val="000000"/>
        </w:rPr>
        <w:t>-</w:t>
      </w:r>
      <w:proofErr w:type="spellStart"/>
      <w:r w:rsidR="00F36233" w:rsidRPr="006E41C5">
        <w:rPr>
          <w:rFonts w:eastAsia="TimesLTStd-Roman" w:cs="TimesLTStd-Roman"/>
          <w:color w:val="000000"/>
        </w:rPr>
        <w:t>селектин</w:t>
      </w:r>
      <w:proofErr w:type="spellEnd"/>
      <w:r w:rsidR="00F36233" w:rsidRPr="006E41C5">
        <w:rPr>
          <w:rFonts w:eastAsia="TimesLTStd-Roman" w:cs="TimesLTStd-Roman"/>
          <w:color w:val="000000"/>
        </w:rPr>
        <w:t xml:space="preserve"> и </w:t>
      </w:r>
      <w:r w:rsidR="00F36233" w:rsidRPr="006E41C5">
        <w:rPr>
          <w:rFonts w:eastAsia="TimesLTStd-Roman" w:cs="TimesLTStd-Roman"/>
          <w:color w:val="000000"/>
          <w:lang w:val="en-US"/>
        </w:rPr>
        <w:t>CD</w:t>
      </w:r>
      <w:r w:rsidR="00F36233" w:rsidRPr="006E41C5">
        <w:rPr>
          <w:rFonts w:eastAsia="TimesLTStd-Roman" w:cs="TimesLTStd-Roman"/>
          <w:color w:val="000000"/>
        </w:rPr>
        <w:t xml:space="preserve">27 </w:t>
      </w:r>
      <w:r w:rsidR="00C833B7">
        <w:rPr>
          <w:rFonts w:eastAsia="TimesLTStd-Roman" w:cs="TimesLTStd-Roman"/>
          <w:color w:val="000000"/>
        </w:rPr>
        <w:t>(</w:t>
      </w:r>
      <w:r w:rsidR="002B1F70">
        <w:rPr>
          <w:rFonts w:eastAsia="TimesLTStd-Roman" w:cs="TimesLTStd-Roman"/>
          <w:color w:val="000000"/>
        </w:rPr>
        <w:t>маркеры</w:t>
      </w:r>
      <w:r w:rsidR="00F36233" w:rsidRPr="006E41C5">
        <w:rPr>
          <w:rFonts w:eastAsia="TimesLTStd-Roman" w:cs="TimesLTStd-Roman"/>
          <w:color w:val="000000"/>
        </w:rPr>
        <w:t xml:space="preserve"> Т-лимфоцитов центральной памяти</w:t>
      </w:r>
      <w:r w:rsidR="00C833B7">
        <w:rPr>
          <w:rFonts w:eastAsia="TimesLTStd-Roman" w:cs="TimesLTStd-Roman"/>
          <w:color w:val="000000"/>
        </w:rPr>
        <w:t xml:space="preserve">) </w:t>
      </w:r>
      <w:r w:rsidR="00C833B7" w:rsidRPr="00C833B7">
        <w:rPr>
          <w:rFonts w:eastAsia="TimesLTStd-Roman" w:cs="TimesLTStd-Roman"/>
          <w:color w:val="000000"/>
        </w:rPr>
        <w:t>[</w:t>
      </w:r>
      <w:r w:rsidR="00EC7CF1" w:rsidRPr="009119D3">
        <w:t>1</w:t>
      </w:r>
      <w:r w:rsidR="00C833B7" w:rsidRPr="00C833B7">
        <w:rPr>
          <w:rFonts w:eastAsia="TimesLTStd-Roman" w:cs="TimesLTStd-Roman"/>
          <w:color w:val="000000"/>
        </w:rPr>
        <w:t xml:space="preserve">, </w:t>
      </w:r>
      <w:r w:rsidR="00EC7CF1" w:rsidRPr="009119D3">
        <w:t>2</w:t>
      </w:r>
      <w:r w:rsidR="00C833B7" w:rsidRPr="00C833B7">
        <w:rPr>
          <w:rFonts w:eastAsia="TimesLTStd-Roman" w:cs="TimesLTStd-Roman"/>
          <w:color w:val="000000"/>
        </w:rPr>
        <w:t>]</w:t>
      </w:r>
      <w:r w:rsidR="00F36233" w:rsidRPr="006E41C5">
        <w:rPr>
          <w:rFonts w:eastAsia="TimesLTStd-Roman" w:cs="TimesLTStd-Roman"/>
          <w:color w:val="000000"/>
        </w:rPr>
        <w:t xml:space="preserve">. </w:t>
      </w:r>
      <w:r>
        <w:rPr>
          <w:rFonts w:eastAsia="TimesLTStd-Roman" w:cs="TimesLTStd-Roman"/>
          <w:color w:val="000000"/>
        </w:rPr>
        <w:t xml:space="preserve">Активацию пролиферации Т-лимфоцитов, приводящую к развитию этого заболевании и его прогрессированию, связывают с мутациями </w:t>
      </w:r>
      <w:r w:rsidRPr="006E41C5">
        <w:rPr>
          <w:rFonts w:eastAsia="TimesLTStd-Roman" w:cs="TimesLTStd-Roman"/>
          <w:color w:val="000000"/>
        </w:rPr>
        <w:t>и/или хромосомны</w:t>
      </w:r>
      <w:r>
        <w:rPr>
          <w:rFonts w:eastAsia="TimesLTStd-Roman" w:cs="TimesLTStd-Roman"/>
          <w:color w:val="000000"/>
        </w:rPr>
        <w:t>ми</w:t>
      </w:r>
      <w:r w:rsidRPr="006E41C5">
        <w:rPr>
          <w:rFonts w:eastAsia="TimesLTStd-Roman" w:cs="TimesLTStd-Roman"/>
          <w:color w:val="000000"/>
        </w:rPr>
        <w:t xml:space="preserve"> изменения</w:t>
      </w:r>
      <w:r>
        <w:rPr>
          <w:rFonts w:eastAsia="TimesLTStd-Roman" w:cs="TimesLTStd-Roman"/>
          <w:color w:val="000000"/>
        </w:rPr>
        <w:t>ми</w:t>
      </w:r>
      <w:r w:rsidRPr="006E41C5">
        <w:rPr>
          <w:rFonts w:eastAsia="TimesLTStd-Roman" w:cs="TimesLTStd-Roman"/>
          <w:color w:val="000000"/>
        </w:rPr>
        <w:t xml:space="preserve"> в генах, которые контролируют </w:t>
      </w:r>
      <w:r w:rsidR="002B1F70">
        <w:rPr>
          <w:rFonts w:eastAsia="TimesLTStd-Roman" w:cs="TimesLTStd-Roman"/>
          <w:color w:val="000000"/>
        </w:rPr>
        <w:t xml:space="preserve">активность </w:t>
      </w:r>
      <w:r w:rsidRPr="006E41C5">
        <w:rPr>
          <w:rFonts w:eastAsia="TimesLTStd-Roman" w:cs="TimesLTStd-Roman"/>
          <w:color w:val="000000"/>
        </w:rPr>
        <w:t>супрессор</w:t>
      </w:r>
      <w:r w:rsidR="002B1F70">
        <w:rPr>
          <w:rFonts w:eastAsia="TimesLTStd-Roman" w:cs="TimesLTStd-Roman"/>
          <w:color w:val="000000"/>
        </w:rPr>
        <w:t>ов</w:t>
      </w:r>
      <w:r w:rsidRPr="006E41C5">
        <w:rPr>
          <w:rFonts w:eastAsia="TimesLTStd-Roman" w:cs="TimesLTStd-Roman"/>
          <w:color w:val="000000"/>
        </w:rPr>
        <w:t xml:space="preserve"> опухолевого роста, эпигенетически</w:t>
      </w:r>
      <w:r w:rsidR="002B1F70">
        <w:rPr>
          <w:rFonts w:eastAsia="TimesLTStd-Roman" w:cs="TimesLTStd-Roman"/>
          <w:color w:val="000000"/>
        </w:rPr>
        <w:t xml:space="preserve">х </w:t>
      </w:r>
      <w:r w:rsidRPr="006E41C5">
        <w:rPr>
          <w:rFonts w:eastAsia="TimesLTStd-Roman" w:cs="TimesLTStd-Roman"/>
          <w:color w:val="000000"/>
        </w:rPr>
        <w:t>регулятор</w:t>
      </w:r>
      <w:r w:rsidR="002B1F70">
        <w:rPr>
          <w:rFonts w:eastAsia="TimesLTStd-Roman" w:cs="TimesLTStd-Roman"/>
          <w:color w:val="000000"/>
        </w:rPr>
        <w:t>ов, сигнальных путей</w:t>
      </w:r>
      <w:r w:rsidRPr="006E41C5">
        <w:rPr>
          <w:rFonts w:eastAsia="TimesLTStd-Roman" w:cs="TimesLTStd-Roman"/>
          <w:color w:val="000000"/>
        </w:rPr>
        <w:t xml:space="preserve"> Т-лимфоцитов, </w:t>
      </w:r>
      <w:r w:rsidR="002B1F70">
        <w:rPr>
          <w:rFonts w:eastAsia="TimesLTStd-Roman" w:cs="TimesLTStd-Roman"/>
          <w:color w:val="000000"/>
        </w:rPr>
        <w:t xml:space="preserve">а также </w:t>
      </w:r>
      <w:r w:rsidRPr="006E41C5">
        <w:rPr>
          <w:rFonts w:eastAsia="TimesLTStd-Roman" w:cs="TimesLTStd-Roman"/>
          <w:color w:val="000000"/>
        </w:rPr>
        <w:t>дифференцировку</w:t>
      </w:r>
      <w:r w:rsidR="002B1F70">
        <w:rPr>
          <w:rFonts w:eastAsia="TimesLTStd-Roman" w:cs="TimesLTStd-Roman"/>
          <w:color w:val="000000"/>
        </w:rPr>
        <w:t>,</w:t>
      </w:r>
      <w:r w:rsidR="002D1A94">
        <w:rPr>
          <w:rFonts w:eastAsia="TimesLTStd-Roman" w:cs="TimesLTStd-Roman"/>
          <w:color w:val="000000"/>
        </w:rPr>
        <w:t xml:space="preserve"> </w:t>
      </w:r>
      <w:r w:rsidR="002B1F70" w:rsidRPr="006E41C5">
        <w:rPr>
          <w:rFonts w:eastAsia="TimesLTStd-Roman" w:cs="TimesLTStd-Roman"/>
          <w:color w:val="000000"/>
        </w:rPr>
        <w:t>выживание и</w:t>
      </w:r>
      <w:r w:rsidR="009119D3">
        <w:rPr>
          <w:rFonts w:eastAsia="TimesLTStd-Roman" w:cs="TimesLTStd-Roman"/>
          <w:color w:val="000000"/>
        </w:rPr>
        <w:t xml:space="preserve"> </w:t>
      </w:r>
      <w:r w:rsidR="002B1F70">
        <w:rPr>
          <w:rFonts w:eastAsia="TimesLTStd-Roman" w:cs="TimesLTStd-Roman"/>
          <w:color w:val="000000"/>
        </w:rPr>
        <w:t>миграцию</w:t>
      </w:r>
      <w:r w:rsidRPr="006E41C5">
        <w:rPr>
          <w:rFonts w:eastAsia="TimesLTStd-Roman" w:cs="TimesLTStd-Roman"/>
          <w:color w:val="000000"/>
        </w:rPr>
        <w:t xml:space="preserve"> Т-лимфоцитов в кож</w:t>
      </w:r>
      <w:r>
        <w:rPr>
          <w:rFonts w:eastAsia="TimesLTStd-Roman" w:cs="TimesLTStd-Roman"/>
          <w:color w:val="000000"/>
        </w:rPr>
        <w:t>у</w:t>
      </w:r>
      <w:r w:rsidR="002D1A94">
        <w:rPr>
          <w:rFonts w:eastAsia="TimesLTStd-Roman" w:cs="TimesLTStd-Roman"/>
          <w:color w:val="000000"/>
        </w:rPr>
        <w:t xml:space="preserve"> </w:t>
      </w:r>
      <w:r w:rsidR="00C833B7" w:rsidRPr="00C833B7">
        <w:rPr>
          <w:rFonts w:eastAsia="TimesLTStd-Roman" w:cs="TimesLTStd-Roman"/>
          <w:color w:val="000000"/>
        </w:rPr>
        <w:t>[</w:t>
      </w:r>
      <w:r w:rsidR="00EC7CF1">
        <w:rPr>
          <w:rFonts w:eastAsia="TimesLTStd-Roman" w:cs="TimesLTStd-Roman"/>
          <w:color w:val="000000"/>
        </w:rPr>
        <w:t>3–5</w:t>
      </w:r>
      <w:r w:rsidR="00C833B7" w:rsidRPr="00EC7CF1">
        <w:rPr>
          <w:rFonts w:eastAsia="TimesLTStd-Roman" w:cs="TimesLTStd-Roman"/>
          <w:color w:val="000000"/>
        </w:rPr>
        <w:t>]</w:t>
      </w:r>
      <w:r w:rsidRPr="00EC7CF1">
        <w:rPr>
          <w:rFonts w:eastAsia="TimesLTStd-Roman" w:cs="TimesLTStd-Roman"/>
          <w:color w:val="000000"/>
        </w:rPr>
        <w:t xml:space="preserve">. </w:t>
      </w:r>
    </w:p>
    <w:p w:rsidR="00E0145A" w:rsidRDefault="006E41C5" w:rsidP="0021676E">
      <w:pPr>
        <w:pStyle w:val="18"/>
      </w:pPr>
      <w:r w:rsidRPr="006E41C5">
        <w:rPr>
          <w:rFonts w:eastAsia="TimesLTStd-Roman" w:cs="TimesLTStd-Roman"/>
          <w:color w:val="000000"/>
        </w:rPr>
        <w:t xml:space="preserve">Злокачественная популяция Т-лимфоцитов </w:t>
      </w:r>
      <w:r w:rsidR="00DD0BA9">
        <w:rPr>
          <w:rFonts w:eastAsia="TimesLTStd-Roman" w:cs="TimesLTStd-Roman"/>
          <w:color w:val="000000"/>
        </w:rPr>
        <w:t>вырабатывает интерлейкин-(ИЛ)-4</w:t>
      </w:r>
      <w:r w:rsidRPr="006E41C5">
        <w:rPr>
          <w:rFonts w:eastAsia="TimesLTStd-Roman" w:cs="TimesLTStd-Roman"/>
          <w:color w:val="000000"/>
        </w:rPr>
        <w:t xml:space="preserve"> и ИЛ-10, </w:t>
      </w:r>
      <w:r w:rsidR="00C833B7">
        <w:rPr>
          <w:rFonts w:eastAsia="TimesLTStd-Roman" w:cs="TimesLTStd-Roman"/>
          <w:color w:val="000000"/>
        </w:rPr>
        <w:t xml:space="preserve">что </w:t>
      </w:r>
      <w:r w:rsidRPr="006E41C5">
        <w:rPr>
          <w:rFonts w:eastAsia="TimesLTStd-Roman" w:cs="TimesLTStd-Roman"/>
          <w:color w:val="000000"/>
        </w:rPr>
        <w:t>соответств</w:t>
      </w:r>
      <w:r w:rsidR="00C833B7">
        <w:rPr>
          <w:rFonts w:eastAsia="TimesLTStd-Roman" w:cs="TimesLTStd-Roman"/>
          <w:color w:val="000000"/>
        </w:rPr>
        <w:t>ует</w:t>
      </w:r>
      <w:r w:rsidRPr="006E41C5">
        <w:rPr>
          <w:rFonts w:eastAsia="TimesLTStd-Roman" w:cs="TimesLTStd-Roman"/>
          <w:color w:val="000000"/>
        </w:rPr>
        <w:t xml:space="preserve"> профилю Т-хелперов 2-го типа (</w:t>
      </w:r>
      <w:r w:rsidRPr="006E41C5">
        <w:rPr>
          <w:rFonts w:eastAsia="TimesLTStd-Roman" w:cs="TimesLTStd-Roman"/>
          <w:color w:val="000000"/>
          <w:lang w:val="en-US"/>
        </w:rPr>
        <w:t>Th</w:t>
      </w:r>
      <w:r w:rsidRPr="006E41C5">
        <w:rPr>
          <w:rFonts w:eastAsia="TimesLTStd-Roman" w:cs="TimesLTStd-Roman"/>
          <w:color w:val="000000"/>
        </w:rPr>
        <w:t xml:space="preserve">2), </w:t>
      </w:r>
      <w:r w:rsidR="00C833B7">
        <w:rPr>
          <w:rFonts w:eastAsia="TimesLTStd-Roman" w:cs="TimesLTStd-Roman"/>
          <w:color w:val="000000"/>
        </w:rPr>
        <w:t>и экспресирует</w:t>
      </w:r>
      <w:r w:rsidR="002D1A94">
        <w:rPr>
          <w:rFonts w:eastAsia="TimesLTStd-Roman" w:cs="TimesLTStd-Roman"/>
          <w:color w:val="000000"/>
        </w:rPr>
        <w:t xml:space="preserve"> </w:t>
      </w:r>
      <w:r w:rsidR="00C833B7">
        <w:rPr>
          <w:rFonts w:eastAsia="TimesLTStd-Roman" w:cs="TimesLTStd-Roman"/>
          <w:color w:val="000000"/>
        </w:rPr>
        <w:t xml:space="preserve">маркер </w:t>
      </w:r>
      <w:r w:rsidRPr="006E41C5">
        <w:rPr>
          <w:rFonts w:eastAsia="TimesLTStd-Roman" w:cs="TimesLTStd-Roman"/>
          <w:color w:val="000000"/>
          <w:lang w:val="en-US"/>
        </w:rPr>
        <w:t>CD</w:t>
      </w:r>
      <w:r w:rsidRPr="006E41C5">
        <w:rPr>
          <w:rFonts w:eastAsia="TimesLTStd-Roman" w:cs="TimesLTStd-Roman"/>
          <w:color w:val="000000"/>
        </w:rPr>
        <w:t xml:space="preserve">25 и белок </w:t>
      </w:r>
      <w:r w:rsidRPr="006E41C5">
        <w:rPr>
          <w:rFonts w:eastAsia="TimesLTStd-Roman" w:cs="TimesLTStd-Roman"/>
          <w:color w:val="000000"/>
          <w:lang w:val="en-US"/>
        </w:rPr>
        <w:t>Fox</w:t>
      </w:r>
      <w:r w:rsidRPr="006E41C5">
        <w:rPr>
          <w:rFonts w:eastAsia="TimesLTStd-Roman" w:cs="TimesLTStd-Roman"/>
          <w:color w:val="000000"/>
        </w:rPr>
        <w:t>-</w:t>
      </w:r>
      <w:r w:rsidRPr="006E41C5">
        <w:rPr>
          <w:rFonts w:eastAsia="TimesLTStd-Roman" w:cs="TimesLTStd-Roman"/>
          <w:color w:val="000000"/>
          <w:lang w:val="en-US"/>
        </w:rPr>
        <w:t>P</w:t>
      </w:r>
      <w:r w:rsidRPr="006E41C5">
        <w:rPr>
          <w:rFonts w:eastAsia="TimesLTStd-Roman" w:cs="TimesLTStd-Roman"/>
          <w:color w:val="000000"/>
        </w:rPr>
        <w:t>3 (</w:t>
      </w:r>
      <w:r w:rsidRPr="006E41C5">
        <w:rPr>
          <w:rFonts w:eastAsia="TimesLTStd-Roman" w:cs="TimesLTStd-Roman"/>
          <w:color w:val="000000"/>
          <w:lang w:val="en-US"/>
        </w:rPr>
        <w:t>forkhead</w:t>
      </w:r>
      <w:r w:rsidR="002D1A94">
        <w:rPr>
          <w:rFonts w:eastAsia="TimesLTStd-Roman" w:cs="TimesLTStd-Roman"/>
          <w:color w:val="000000"/>
        </w:rPr>
        <w:t xml:space="preserve"> </w:t>
      </w:r>
      <w:r w:rsidRPr="006E41C5">
        <w:rPr>
          <w:rFonts w:eastAsia="TimesLTStd-Roman" w:cs="TimesLTStd-Roman"/>
          <w:color w:val="000000"/>
          <w:lang w:val="en-US"/>
        </w:rPr>
        <w:t>box</w:t>
      </w:r>
      <w:r w:rsidR="002D1A94">
        <w:rPr>
          <w:rFonts w:eastAsia="TimesLTStd-Roman" w:cs="TimesLTStd-Roman"/>
          <w:color w:val="000000"/>
        </w:rPr>
        <w:t xml:space="preserve"> </w:t>
      </w:r>
      <w:r w:rsidRPr="006E41C5">
        <w:rPr>
          <w:rFonts w:eastAsia="TimesLTStd-Roman" w:cs="TimesLTStd-Roman"/>
          <w:color w:val="000000"/>
          <w:lang w:val="en-US"/>
        </w:rPr>
        <w:t>protein</w:t>
      </w:r>
      <w:r w:rsidRPr="006E41C5">
        <w:rPr>
          <w:rFonts w:eastAsia="TimesLTStd-Roman" w:cs="TimesLTStd-Roman"/>
          <w:color w:val="000000"/>
        </w:rPr>
        <w:t xml:space="preserve"> 3), </w:t>
      </w:r>
      <w:r w:rsidR="00C833B7">
        <w:rPr>
          <w:rFonts w:eastAsia="TimesLTStd-Roman" w:cs="TimesLTStd-Roman"/>
          <w:color w:val="000000"/>
        </w:rPr>
        <w:t xml:space="preserve">что </w:t>
      </w:r>
      <w:r w:rsidRPr="006E41C5">
        <w:rPr>
          <w:rFonts w:eastAsia="TimesLTStd-Roman" w:cs="TimesLTStd-Roman"/>
          <w:color w:val="000000"/>
        </w:rPr>
        <w:t>соответству</w:t>
      </w:r>
      <w:r w:rsidR="00C833B7">
        <w:rPr>
          <w:rFonts w:eastAsia="TimesLTStd-Roman" w:cs="TimesLTStd-Roman"/>
          <w:color w:val="000000"/>
        </w:rPr>
        <w:t>ет</w:t>
      </w:r>
      <w:r w:rsidRPr="006E41C5">
        <w:rPr>
          <w:rFonts w:eastAsia="TimesLTStd-Roman" w:cs="TimesLTStd-Roman"/>
          <w:color w:val="000000"/>
        </w:rPr>
        <w:t xml:space="preserve"> профилю Т-регуляторных лимфоцитов (Т-супрессор</w:t>
      </w:r>
      <w:r w:rsidR="00C833B7">
        <w:rPr>
          <w:rFonts w:eastAsia="TimesLTStd-Roman" w:cs="TimesLTStd-Roman"/>
          <w:color w:val="000000"/>
        </w:rPr>
        <w:t>ов</w:t>
      </w:r>
      <w:r w:rsidRPr="006E41C5">
        <w:rPr>
          <w:rFonts w:eastAsia="TimesLTStd-Roman" w:cs="TimesLTStd-Roman"/>
          <w:color w:val="000000"/>
        </w:rPr>
        <w:t>)</w:t>
      </w:r>
      <w:r w:rsidR="002D1A94">
        <w:rPr>
          <w:rFonts w:eastAsia="TimesLTStd-Roman" w:cs="TimesLTStd-Roman"/>
          <w:color w:val="000000"/>
        </w:rPr>
        <w:t xml:space="preserve"> </w:t>
      </w:r>
      <w:r w:rsidR="00DD0BA9" w:rsidRPr="00DD0BA9">
        <w:rPr>
          <w:rFonts w:eastAsia="TimesLTStd-Roman" w:cs="TimesLTStd-Roman"/>
          <w:color w:val="000000"/>
        </w:rPr>
        <w:t>[</w:t>
      </w:r>
      <w:r w:rsidR="00EC7CF1">
        <w:rPr>
          <w:rFonts w:eastAsia="TimesLTStd-Roman" w:cs="TimesLTStd-Roman"/>
          <w:color w:val="000000"/>
        </w:rPr>
        <w:t>6–8</w:t>
      </w:r>
      <w:r w:rsidR="00DD0BA9" w:rsidRPr="00DD0BA9">
        <w:rPr>
          <w:rFonts w:eastAsia="TimesLTStd-Roman" w:cs="TimesLTStd-Roman"/>
          <w:color w:val="000000"/>
        </w:rPr>
        <w:t>]</w:t>
      </w:r>
      <w:r w:rsidR="00DD0BA9">
        <w:rPr>
          <w:rFonts w:eastAsia="TimesLTStd-Roman" w:cs="TimesLTStd-Roman"/>
          <w:color w:val="000000"/>
        </w:rPr>
        <w:t>.</w:t>
      </w:r>
      <w:r w:rsidR="002D1A94">
        <w:rPr>
          <w:rFonts w:eastAsia="TimesLTStd-Roman" w:cs="TimesLTStd-Roman"/>
          <w:color w:val="000000"/>
        </w:rPr>
        <w:t xml:space="preserve"> </w:t>
      </w:r>
      <w:r w:rsidR="00DD0BA9" w:rsidRPr="006E41C5">
        <w:rPr>
          <w:rFonts w:eastAsia="TimesLTStd-Roman" w:cs="TimesLTStd-Roman"/>
          <w:color w:val="000000"/>
        </w:rPr>
        <w:t xml:space="preserve">В результате смещения иммунных реакций в сторону </w:t>
      </w:r>
      <w:r w:rsidR="00DD0BA9" w:rsidRPr="006E41C5">
        <w:rPr>
          <w:rFonts w:eastAsia="TimesLTStd-Roman" w:cs="TimesLTStd-Roman"/>
          <w:color w:val="000000"/>
          <w:lang w:val="en-US"/>
        </w:rPr>
        <w:t>Th</w:t>
      </w:r>
      <w:r w:rsidR="00DD0BA9" w:rsidRPr="006E41C5">
        <w:rPr>
          <w:rFonts w:eastAsia="TimesLTStd-Roman" w:cs="TimesLTStd-Roman"/>
          <w:color w:val="000000"/>
        </w:rPr>
        <w:t xml:space="preserve">2 и </w:t>
      </w:r>
      <w:r w:rsidR="00DD0BA9" w:rsidRPr="006E41C5">
        <w:rPr>
          <w:rFonts w:eastAsia="TimesLTStd-Roman" w:cs="TimesLTStd-Roman"/>
          <w:color w:val="000000"/>
          <w:lang w:val="en-US"/>
        </w:rPr>
        <w:t>T</w:t>
      </w:r>
      <w:r w:rsidR="00DD0BA9" w:rsidRPr="006E41C5">
        <w:rPr>
          <w:rFonts w:eastAsia="TimesLTStd-Roman" w:cs="TimesLTStd-Roman"/>
          <w:color w:val="000000"/>
        </w:rPr>
        <w:t xml:space="preserve">-регуляторного профилей происходит подавление функции естественных киллерных и </w:t>
      </w:r>
      <w:r w:rsidR="00DD0BA9" w:rsidRPr="006E41C5">
        <w:rPr>
          <w:rFonts w:eastAsia="TimesLTStd-Roman" w:cs="TimesLTStd-Roman"/>
          <w:color w:val="000000"/>
          <w:lang w:val="en-US"/>
        </w:rPr>
        <w:t>CD</w:t>
      </w:r>
      <w:r w:rsidR="00DD0BA9" w:rsidRPr="006E41C5">
        <w:rPr>
          <w:rFonts w:eastAsia="TimesLTStd-Roman" w:cs="TimesLTStd-Roman"/>
          <w:color w:val="000000"/>
        </w:rPr>
        <w:t>8-экспрессирующих Т-лимфоцитов, а также нарушение функции и дифференцировки дендритных клеток, что</w:t>
      </w:r>
      <w:r w:rsidR="00DD0BA9">
        <w:rPr>
          <w:rFonts w:eastAsia="TimesLTStd-Roman" w:cs="TimesLTStd-Roman"/>
          <w:color w:val="000000"/>
        </w:rPr>
        <w:t xml:space="preserve"> приводит</w:t>
      </w:r>
      <w:r w:rsidR="00DD0BA9" w:rsidRPr="006E41C5">
        <w:rPr>
          <w:rFonts w:eastAsia="TimesLTStd-Roman" w:cs="TimesLTStd-Roman"/>
          <w:color w:val="000000"/>
        </w:rPr>
        <w:t xml:space="preserve"> к подавлению нормального иммунного ответа</w:t>
      </w:r>
      <w:r w:rsidR="00DD0BA9">
        <w:rPr>
          <w:rFonts w:eastAsia="TimesLTStd-Roman" w:cs="TimesLTStd-Roman"/>
          <w:color w:val="000000"/>
        </w:rPr>
        <w:t>, в том числе</w:t>
      </w:r>
      <w:r w:rsidR="00DD0BA9" w:rsidRPr="006E41C5">
        <w:rPr>
          <w:rFonts w:eastAsia="TimesLTStd-Roman" w:cs="TimesLTStd-Roman"/>
          <w:color w:val="000000"/>
        </w:rPr>
        <w:t xml:space="preserve"> на вирусные инфекции и новообразования</w:t>
      </w:r>
      <w:r w:rsidR="002D1A94">
        <w:rPr>
          <w:rFonts w:eastAsia="TimesLTStd-Roman" w:cs="TimesLTStd-Roman"/>
          <w:color w:val="000000"/>
        </w:rPr>
        <w:t xml:space="preserve"> </w:t>
      </w:r>
      <w:r w:rsidR="00DD0BA9" w:rsidRPr="006E41C5">
        <w:rPr>
          <w:rFonts w:eastAsia="TimesLTStd-Roman" w:cs="TimesLTStd-Roman"/>
          <w:color w:val="000000"/>
        </w:rPr>
        <w:t>[</w:t>
      </w:r>
      <w:r w:rsidR="00EC7CF1" w:rsidRPr="009119D3">
        <w:t>8</w:t>
      </w:r>
      <w:r w:rsidR="00DD0BA9">
        <w:rPr>
          <w:rFonts w:eastAsia="TimesLTStd-Roman" w:cs="TimesLTStd-Roman"/>
          <w:color w:val="000000"/>
        </w:rPr>
        <w:t>].</w:t>
      </w:r>
    </w:p>
    <w:p w:rsidR="00B46390" w:rsidRPr="00311757" w:rsidRDefault="00B46390" w:rsidP="00172112">
      <w:pPr>
        <w:pStyle w:val="2"/>
      </w:pPr>
      <w:bookmarkStart w:id="20" w:name="_Toc36831344"/>
      <w:bookmarkStart w:id="21" w:name="_Toc34301077"/>
      <w:r w:rsidRPr="00B46390">
        <w:t xml:space="preserve">1.3 </w:t>
      </w:r>
      <w:r w:rsidRPr="00311757">
        <w:t>Эпидемиология</w:t>
      </w:r>
      <w:r w:rsidR="002D1A94">
        <w:t xml:space="preserve"> </w:t>
      </w:r>
      <w:r w:rsidR="00311757" w:rsidRPr="00311757">
        <w:rPr>
          <w:color w:val="333333"/>
          <w:shd w:val="clear" w:color="auto" w:fill="FFFFFF"/>
        </w:rPr>
        <w:t>заболевания или состояния (группы заболеваний или состояний)</w:t>
      </w:r>
      <w:bookmarkEnd w:id="20"/>
      <w:bookmarkEnd w:id="21"/>
    </w:p>
    <w:p w:rsidR="00094ED6" w:rsidRDefault="00DD0BA9" w:rsidP="00094ED6">
      <w:pPr>
        <w:pStyle w:val="18"/>
      </w:pPr>
      <w:r>
        <w:t>Синдром Сезари</w:t>
      </w:r>
      <w:r w:rsidRPr="00511563">
        <w:t xml:space="preserve"> составляет менее чем 5% от всех первичных кожных лимфом. Болеют преимущественно люди пожилого возраста с преобладанием пациентов мужского пола, средний возраст начала заболевания составляет 60</w:t>
      </w:r>
      <w:r>
        <w:t>–</w:t>
      </w:r>
      <w:r w:rsidRPr="00511563">
        <w:t>65 лет</w:t>
      </w:r>
      <w:r w:rsidR="002D1A94">
        <w:t xml:space="preserve"> </w:t>
      </w:r>
      <w:r w:rsidR="00094ED6" w:rsidRPr="00B104EF">
        <w:t>[</w:t>
      </w:r>
      <w:r w:rsidR="007F5462">
        <w:t>7, 9</w:t>
      </w:r>
      <w:r w:rsidR="00094ED6" w:rsidRPr="00B104EF">
        <w:t>]</w:t>
      </w:r>
    </w:p>
    <w:p w:rsidR="00311757" w:rsidRPr="00311757" w:rsidRDefault="00B46390" w:rsidP="00311757">
      <w:pPr>
        <w:pStyle w:val="2"/>
      </w:pPr>
      <w:bookmarkStart w:id="22" w:name="_Toc36831345"/>
      <w:bookmarkStart w:id="23" w:name="_Toc34301078"/>
      <w:r w:rsidRPr="00B46390">
        <w:lastRenderedPageBreak/>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2"/>
      <w:bookmarkEnd w:id="23"/>
    </w:p>
    <w:p w:rsidR="00315A5D" w:rsidRPr="00315A5D" w:rsidRDefault="00DD0BA9" w:rsidP="00A70F44">
      <w:r>
        <w:rPr>
          <w:lang w:val="en-US"/>
        </w:rPr>
        <w:t>C</w:t>
      </w:r>
      <w:r w:rsidRPr="00511563">
        <w:t>84.</w:t>
      </w:r>
      <w:r>
        <w:t>1 – Синдром Сезари.</w:t>
      </w:r>
    </w:p>
    <w:p w:rsidR="00B46390" w:rsidRDefault="00B46390" w:rsidP="00311757">
      <w:pPr>
        <w:pStyle w:val="2"/>
      </w:pPr>
      <w:bookmarkStart w:id="24" w:name="_Toc36831346"/>
      <w:bookmarkStart w:id="25" w:name="_Toc34301079"/>
      <w:r w:rsidRPr="00B46390">
        <w:t>1.5 Классификация</w:t>
      </w:r>
      <w:r w:rsidR="002D1A94">
        <w:t xml:space="preserve"> </w:t>
      </w:r>
      <w:r w:rsidR="00311757" w:rsidRPr="00311757">
        <w:rPr>
          <w:color w:val="333333"/>
          <w:shd w:val="clear" w:color="auto" w:fill="FFFFFF"/>
        </w:rPr>
        <w:t>заболевания или состояния (группы заболеваний или состояний)</w:t>
      </w:r>
      <w:bookmarkEnd w:id="24"/>
      <w:bookmarkEnd w:id="25"/>
    </w:p>
    <w:p w:rsidR="00364741" w:rsidRDefault="005B1751" w:rsidP="00384B6A">
      <w:pPr>
        <w:pStyle w:val="18"/>
      </w:pPr>
      <w:r w:rsidRPr="00336969">
        <w:rPr>
          <w:rFonts w:cs="Calibri"/>
          <w:lang w:eastAsia="ru-RU"/>
        </w:rPr>
        <w:t xml:space="preserve">Стадирование </w:t>
      </w:r>
      <w:r>
        <w:rPr>
          <w:rFonts w:cs="Calibri"/>
          <w:lang w:eastAsia="ru-RU"/>
        </w:rPr>
        <w:t>синдрома Сезари</w:t>
      </w:r>
      <w:r w:rsidRPr="00336969">
        <w:rPr>
          <w:rFonts w:cs="Calibri"/>
          <w:lang w:eastAsia="ru-RU"/>
        </w:rPr>
        <w:t xml:space="preserve"> проводится согласно пересмотренной </w:t>
      </w:r>
      <w:r w:rsidRPr="00336969">
        <w:rPr>
          <w:rFonts w:cs="Calibri"/>
          <w:lang w:val="en-US" w:eastAsia="ru-RU"/>
        </w:rPr>
        <w:t>TNM</w:t>
      </w:r>
      <w:r w:rsidRPr="00336969">
        <w:rPr>
          <w:rFonts w:cs="Calibri"/>
          <w:lang w:eastAsia="ru-RU"/>
        </w:rPr>
        <w:t xml:space="preserve"> классификации, предложенной Международным обществом по лимфомам кожи и Европейской организацией по изучению и лечению рака (</w:t>
      </w:r>
      <w:r w:rsidRPr="00336969">
        <w:rPr>
          <w:rFonts w:cs="Calibri"/>
          <w:lang w:val="en-US" w:eastAsia="ru-RU"/>
        </w:rPr>
        <w:t>ISCL</w:t>
      </w:r>
      <w:r w:rsidRPr="00336969">
        <w:rPr>
          <w:rFonts w:cs="Calibri"/>
          <w:lang w:eastAsia="ru-RU"/>
        </w:rPr>
        <w:t>-</w:t>
      </w:r>
      <w:r w:rsidRPr="00336969">
        <w:rPr>
          <w:rFonts w:cs="Calibri"/>
          <w:lang w:val="en-US" w:eastAsia="ru-RU"/>
        </w:rPr>
        <w:t>EORTC</w:t>
      </w:r>
      <w:r w:rsidR="002D1A94">
        <w:rPr>
          <w:rFonts w:cs="Calibri"/>
          <w:lang w:eastAsia="ru-RU"/>
        </w:rPr>
        <w:t xml:space="preserve"> </w:t>
      </w:r>
      <w:r w:rsidRPr="00336969">
        <w:rPr>
          <w:rFonts w:cs="Calibri"/>
          <w:lang w:val="en-US" w:eastAsia="ru-RU"/>
        </w:rPr>
        <w:t>staging</w:t>
      </w:r>
      <w:r w:rsidR="002D1A94">
        <w:rPr>
          <w:rFonts w:cs="Calibri"/>
          <w:lang w:eastAsia="ru-RU"/>
        </w:rPr>
        <w:t xml:space="preserve"> </w:t>
      </w:r>
      <w:r w:rsidRPr="00336969">
        <w:rPr>
          <w:rFonts w:cs="Calibri"/>
          <w:lang w:val="en-US" w:eastAsia="ru-RU"/>
        </w:rPr>
        <w:t>system</w:t>
      </w:r>
      <w:r>
        <w:rPr>
          <w:rFonts w:cs="Calibri"/>
          <w:lang w:eastAsia="ru-RU"/>
        </w:rPr>
        <w:t>)</w:t>
      </w:r>
      <w:r w:rsidRPr="00336969">
        <w:rPr>
          <w:rFonts w:cs="Calibri"/>
          <w:lang w:eastAsia="ru-RU"/>
        </w:rPr>
        <w:t xml:space="preserve">. Так как для пациентов с </w:t>
      </w:r>
      <w:r>
        <w:rPr>
          <w:rFonts w:cs="Calibri"/>
          <w:lang w:eastAsia="ru-RU"/>
        </w:rPr>
        <w:t>синдромом Сезари</w:t>
      </w:r>
      <w:r w:rsidRPr="00336969">
        <w:rPr>
          <w:rFonts w:cs="Calibri"/>
          <w:lang w:eastAsia="ru-RU"/>
        </w:rPr>
        <w:t xml:space="preserve"> характерны эритродермия (Т</w:t>
      </w:r>
      <w:r w:rsidRPr="00336969">
        <w:rPr>
          <w:rFonts w:cs="Calibri"/>
          <w:vertAlign w:val="subscript"/>
          <w:lang w:eastAsia="ru-RU"/>
        </w:rPr>
        <w:t>4</w:t>
      </w:r>
      <w:r w:rsidRPr="00336969">
        <w:rPr>
          <w:rFonts w:cs="Calibri"/>
          <w:lang w:eastAsia="ru-RU"/>
        </w:rPr>
        <w:t>) и В</w:t>
      </w:r>
      <w:r w:rsidRPr="00336969">
        <w:rPr>
          <w:rFonts w:cs="Calibri"/>
          <w:vertAlign w:val="subscript"/>
          <w:lang w:eastAsia="ru-RU"/>
        </w:rPr>
        <w:t>2</w:t>
      </w:r>
      <w:r w:rsidRPr="00336969">
        <w:rPr>
          <w:rFonts w:cs="Calibri"/>
          <w:lang w:eastAsia="ru-RU"/>
        </w:rPr>
        <w:t xml:space="preserve">–вовлечение крови, они расцениваются как имеющие </w:t>
      </w:r>
      <w:r w:rsidRPr="00336969">
        <w:rPr>
          <w:rFonts w:cs="Calibri"/>
          <w:lang w:val="en-US" w:eastAsia="ru-RU"/>
        </w:rPr>
        <w:t>IVA</w:t>
      </w:r>
      <w:r w:rsidRPr="00336969">
        <w:rPr>
          <w:rFonts w:cs="Calibri"/>
          <w:lang w:eastAsia="ru-RU"/>
        </w:rPr>
        <w:t xml:space="preserve"> или </w:t>
      </w:r>
      <w:r w:rsidRPr="00336969">
        <w:rPr>
          <w:rFonts w:cs="Calibri"/>
          <w:lang w:val="en-US" w:eastAsia="ru-RU"/>
        </w:rPr>
        <w:t>IVB</w:t>
      </w:r>
      <w:r w:rsidRPr="00336969">
        <w:rPr>
          <w:rFonts w:cs="Calibri"/>
          <w:lang w:eastAsia="ru-RU"/>
        </w:rPr>
        <w:t xml:space="preserve"> стадию заболевания</w:t>
      </w:r>
      <w:r w:rsidR="002D1A94">
        <w:rPr>
          <w:rFonts w:cs="Calibri"/>
          <w:lang w:eastAsia="ru-RU"/>
        </w:rPr>
        <w:t xml:space="preserve"> </w:t>
      </w:r>
      <w:r w:rsidR="00ED5598" w:rsidRPr="00B104EF">
        <w:t>[</w:t>
      </w:r>
      <w:r w:rsidR="007F5462">
        <w:rPr>
          <w:rFonts w:eastAsia="TimesLTStd-Roman"/>
        </w:rPr>
        <w:t>9</w:t>
      </w:r>
      <w:r w:rsidR="00ED5598" w:rsidRPr="00B104EF">
        <w:t>]</w:t>
      </w:r>
      <w:r>
        <w:t>.</w:t>
      </w:r>
    </w:p>
    <w:p w:rsidR="00A70F44" w:rsidRPr="00311757" w:rsidRDefault="00B46390" w:rsidP="00A70F44">
      <w:pPr>
        <w:pStyle w:val="2"/>
      </w:pPr>
      <w:bookmarkStart w:id="26" w:name="_Toc36831347"/>
      <w:bookmarkStart w:id="27" w:name="_Toc34301080"/>
      <w:r w:rsidRPr="00B46390">
        <w:t>1.6 Клиническая картина</w:t>
      </w:r>
      <w:r w:rsidR="007C1C81" w:rsidRPr="007C1C81">
        <w:t xml:space="preserve"> </w:t>
      </w:r>
      <w:r w:rsidR="00A70F44" w:rsidRPr="00311757">
        <w:rPr>
          <w:color w:val="333333"/>
          <w:shd w:val="clear" w:color="auto" w:fill="FFFFFF"/>
        </w:rPr>
        <w:t>заболевания или состояния (группы заболеваний или состояний)</w:t>
      </w:r>
      <w:bookmarkEnd w:id="26"/>
      <w:bookmarkEnd w:id="27"/>
    </w:p>
    <w:p w:rsidR="00562845" w:rsidRPr="00562845" w:rsidRDefault="005B1751" w:rsidP="0021676E">
      <w:pPr>
        <w:pStyle w:val="18"/>
      </w:pPr>
      <w:r>
        <w:rPr>
          <w:szCs w:val="28"/>
        </w:rPr>
        <w:t>Синдром Сезари</w:t>
      </w:r>
      <w:r w:rsidRPr="008B253D">
        <w:rPr>
          <w:szCs w:val="28"/>
        </w:rPr>
        <w:t xml:space="preserve"> начинается с развития эритродермии, которая сопровождается сильным зудом и</w:t>
      </w:r>
      <w:r w:rsidR="00B032D2">
        <w:rPr>
          <w:szCs w:val="28"/>
        </w:rPr>
        <w:t>/или</w:t>
      </w:r>
      <w:r w:rsidRPr="008B253D">
        <w:rPr>
          <w:szCs w:val="28"/>
        </w:rPr>
        <w:t xml:space="preserve"> шелушением. </w:t>
      </w:r>
      <w:r>
        <w:rPr>
          <w:szCs w:val="28"/>
        </w:rPr>
        <w:t xml:space="preserve">Выраженность эритридермии может быть различной – от розовато-красной до ярко-красной окраски кожных покровов. </w:t>
      </w:r>
      <w:r w:rsidRPr="008B253D">
        <w:rPr>
          <w:szCs w:val="28"/>
        </w:rPr>
        <w:t xml:space="preserve">Впоследствии присоединяется ладонно-подошвенный гиперкератоз, алопеция и ониходистрофия. </w:t>
      </w:r>
      <w:r>
        <w:rPr>
          <w:szCs w:val="28"/>
        </w:rPr>
        <w:t>Пальпация выявляет у</w:t>
      </w:r>
      <w:r w:rsidRPr="008B253D">
        <w:rPr>
          <w:szCs w:val="28"/>
        </w:rPr>
        <w:t>величение периферических лимфатических узлов</w:t>
      </w:r>
      <w:r>
        <w:rPr>
          <w:szCs w:val="28"/>
        </w:rPr>
        <w:t>, которое</w:t>
      </w:r>
      <w:r w:rsidRPr="008B253D">
        <w:rPr>
          <w:szCs w:val="28"/>
        </w:rPr>
        <w:t xml:space="preserve"> может происходить </w:t>
      </w:r>
      <w:r>
        <w:rPr>
          <w:szCs w:val="28"/>
        </w:rPr>
        <w:t xml:space="preserve">как </w:t>
      </w:r>
      <w:r w:rsidRPr="008B253D">
        <w:rPr>
          <w:szCs w:val="28"/>
        </w:rPr>
        <w:t>за счет дерматопатической лимфаденопатии</w:t>
      </w:r>
      <w:r>
        <w:rPr>
          <w:szCs w:val="28"/>
        </w:rPr>
        <w:t>, так и вследствие их</w:t>
      </w:r>
      <w:r w:rsidRPr="008B253D">
        <w:rPr>
          <w:szCs w:val="28"/>
        </w:rPr>
        <w:t xml:space="preserve"> вовлечения в опухолевый процесс</w:t>
      </w:r>
      <w:r w:rsidRPr="005B1751">
        <w:rPr>
          <w:szCs w:val="28"/>
        </w:rPr>
        <w:t xml:space="preserve"> [</w:t>
      </w:r>
      <w:r w:rsidR="007F5462">
        <w:rPr>
          <w:szCs w:val="28"/>
        </w:rPr>
        <w:t>7, 10</w:t>
      </w:r>
      <w:r w:rsidRPr="005B1751">
        <w:rPr>
          <w:szCs w:val="28"/>
        </w:rPr>
        <w:t>]</w:t>
      </w:r>
      <w:r w:rsidRPr="008B253D">
        <w:rPr>
          <w:szCs w:val="28"/>
        </w:rPr>
        <w:t xml:space="preserve">. При лабораторных исследованиях обнаруживается </w:t>
      </w:r>
      <w:r w:rsidR="00B032D2">
        <w:rPr>
          <w:szCs w:val="28"/>
        </w:rPr>
        <w:t>наличие в периферической крови большое количество клеток Сезари.</w:t>
      </w:r>
    </w:p>
    <w:p w:rsidR="000414F6" w:rsidRDefault="00B46390" w:rsidP="00C4630C">
      <w:pPr>
        <w:pStyle w:val="afff1"/>
      </w:pPr>
      <w:bookmarkStart w:id="28" w:name="_Toc36831348"/>
      <w:bookmarkStart w:id="29" w:name="_Toc34301081"/>
      <w:r>
        <w:t xml:space="preserve">2. </w:t>
      </w:r>
      <w:r w:rsidR="00CB71DA">
        <w:t>Диагностика</w:t>
      </w:r>
      <w:bookmarkEnd w:id="17"/>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8"/>
      <w:bookmarkEnd w:id="29"/>
    </w:p>
    <w:p w:rsidR="00AA7468" w:rsidRPr="00336969" w:rsidRDefault="00AA7468" w:rsidP="00AA7468">
      <w:pPr>
        <w:ind w:left="357"/>
        <w:rPr>
          <w:rFonts w:eastAsia="Times New Roman" w:cs="Calibri"/>
          <w:lang w:eastAsia="ru-RU"/>
        </w:rPr>
      </w:pPr>
      <w:r w:rsidRPr="00336969">
        <w:rPr>
          <w:rFonts w:eastAsia="Times New Roman" w:cs="Calibri"/>
          <w:lang w:eastAsia="ru-RU"/>
        </w:rPr>
        <w:t>Международным обществом лимфом кожи (</w:t>
      </w:r>
      <w:r w:rsidRPr="00336969">
        <w:rPr>
          <w:rFonts w:eastAsia="Times New Roman" w:cs="Calibri"/>
          <w:lang w:val="en-US" w:eastAsia="ru-RU"/>
        </w:rPr>
        <w:t>ISCL</w:t>
      </w:r>
      <w:r w:rsidRPr="00336969">
        <w:rPr>
          <w:rFonts w:eastAsia="Times New Roman" w:cs="Calibri"/>
          <w:lang w:eastAsia="ru-RU"/>
        </w:rPr>
        <w:t>) и Европейской организацией по изучению и лечению рака (</w:t>
      </w:r>
      <w:r w:rsidRPr="00336969">
        <w:rPr>
          <w:rFonts w:eastAsia="Times New Roman" w:cs="Calibri"/>
          <w:lang w:val="en-US" w:eastAsia="ru-RU"/>
        </w:rPr>
        <w:t>EORTC</w:t>
      </w:r>
      <w:r w:rsidRPr="00336969">
        <w:rPr>
          <w:rFonts w:eastAsia="Times New Roman" w:cs="Calibri"/>
          <w:lang w:eastAsia="ru-RU"/>
        </w:rPr>
        <w:t xml:space="preserve">) выработаны следующие критерии диагностики </w:t>
      </w:r>
      <w:r>
        <w:rPr>
          <w:rFonts w:eastAsia="Times New Roman" w:cs="Calibri"/>
          <w:lang w:eastAsia="ru-RU"/>
        </w:rPr>
        <w:t xml:space="preserve">синдрома Сезари </w:t>
      </w:r>
      <w:r w:rsidR="006D1C1C">
        <w:rPr>
          <w:rFonts w:eastAsia="Times New Roman" w:cs="Calibri"/>
          <w:lang w:eastAsia="ru-RU"/>
        </w:rPr>
        <w:t xml:space="preserve">(Приложение Г1) </w:t>
      </w:r>
      <w:r w:rsidRPr="00AA7468">
        <w:rPr>
          <w:rFonts w:eastAsia="Times New Roman" w:cs="Calibri"/>
          <w:lang w:eastAsia="ru-RU"/>
        </w:rPr>
        <w:t>[</w:t>
      </w:r>
      <w:r w:rsidR="007F5462">
        <w:rPr>
          <w:rFonts w:eastAsia="TimesLTStd-Roman"/>
          <w:szCs w:val="24"/>
        </w:rPr>
        <w:t>9</w:t>
      </w:r>
      <w:r w:rsidRPr="00AA7468">
        <w:rPr>
          <w:rFonts w:eastAsia="Times New Roman" w:cs="Calibri"/>
          <w:lang w:eastAsia="ru-RU"/>
        </w:rPr>
        <w:t>]</w:t>
      </w:r>
      <w:r w:rsidRPr="00336969">
        <w:rPr>
          <w:rFonts w:eastAsia="Times New Roman" w:cs="Calibri"/>
          <w:lang w:eastAsia="ru-RU"/>
        </w:rPr>
        <w:t>:</w:t>
      </w:r>
    </w:p>
    <w:p w:rsidR="00AA7468" w:rsidRPr="00336969" w:rsidRDefault="00AA7468" w:rsidP="00460059">
      <w:pPr>
        <w:numPr>
          <w:ilvl w:val="0"/>
          <w:numId w:val="14"/>
        </w:numPr>
        <w:tabs>
          <w:tab w:val="left" w:pos="1134"/>
        </w:tabs>
        <w:ind w:firstLine="349"/>
        <w:rPr>
          <w:rFonts w:eastAsia="Times New Roman" w:cs="Calibri"/>
          <w:lang w:eastAsia="ru-RU"/>
        </w:rPr>
      </w:pPr>
      <w:r w:rsidRPr="00336969">
        <w:rPr>
          <w:rFonts w:eastAsia="Times New Roman" w:cs="Calibri"/>
          <w:lang w:eastAsia="ru-RU"/>
        </w:rPr>
        <w:t xml:space="preserve">Отсутствие предшествующего </w:t>
      </w:r>
      <w:r>
        <w:rPr>
          <w:rFonts w:eastAsia="Times New Roman" w:cs="Calibri"/>
          <w:lang w:eastAsia="ru-RU"/>
        </w:rPr>
        <w:t>грибовидного микоза</w:t>
      </w:r>
    </w:p>
    <w:p w:rsidR="00AA7468" w:rsidRPr="00336969" w:rsidRDefault="00AA7468" w:rsidP="00460059">
      <w:pPr>
        <w:numPr>
          <w:ilvl w:val="0"/>
          <w:numId w:val="14"/>
        </w:numPr>
        <w:tabs>
          <w:tab w:val="left" w:pos="1134"/>
        </w:tabs>
        <w:ind w:firstLine="349"/>
        <w:rPr>
          <w:rFonts w:eastAsia="Times New Roman" w:cs="Calibri"/>
          <w:lang w:eastAsia="ru-RU"/>
        </w:rPr>
      </w:pPr>
      <w:r w:rsidRPr="00336969">
        <w:rPr>
          <w:rFonts w:eastAsia="Times New Roman" w:cs="Calibri"/>
          <w:lang w:eastAsia="ru-RU"/>
        </w:rPr>
        <w:t>Генерализованная эритродермия (диффузная эритема, покрывающая не менее 80% поверхности тела с/без шелушения)</w:t>
      </w:r>
    </w:p>
    <w:p w:rsidR="00AA7468" w:rsidRPr="00336969" w:rsidRDefault="00AA7468" w:rsidP="00460059">
      <w:pPr>
        <w:numPr>
          <w:ilvl w:val="0"/>
          <w:numId w:val="14"/>
        </w:numPr>
        <w:tabs>
          <w:tab w:val="left" w:pos="1134"/>
        </w:tabs>
        <w:ind w:firstLine="349"/>
        <w:rPr>
          <w:rFonts w:eastAsia="Times New Roman" w:cs="Calibri"/>
          <w:lang w:eastAsia="ru-RU"/>
        </w:rPr>
      </w:pPr>
      <w:r w:rsidRPr="00336969">
        <w:rPr>
          <w:rFonts w:eastAsia="Times New Roman" w:cs="Calibri"/>
          <w:lang w:eastAsia="ru-RU"/>
        </w:rPr>
        <w:t xml:space="preserve">Наличие в крови доминантного клона Т-лимфоцитов (определяется при помощи ПЦР или </w:t>
      </w:r>
      <w:r w:rsidRPr="00336969">
        <w:rPr>
          <w:rFonts w:eastAsia="Times New Roman" w:cs="Calibri"/>
          <w:lang w:val="en-US" w:eastAsia="ru-RU"/>
        </w:rPr>
        <w:t>Southernblot</w:t>
      </w:r>
      <w:r w:rsidRPr="00336969">
        <w:rPr>
          <w:rFonts w:eastAsia="Times New Roman" w:cs="Calibri"/>
          <w:lang w:eastAsia="ru-RU"/>
        </w:rPr>
        <w:t>)</w:t>
      </w:r>
    </w:p>
    <w:p w:rsidR="00AA7468" w:rsidRPr="00336969" w:rsidRDefault="00AA7468" w:rsidP="00460059">
      <w:pPr>
        <w:numPr>
          <w:ilvl w:val="0"/>
          <w:numId w:val="14"/>
        </w:numPr>
        <w:tabs>
          <w:tab w:val="left" w:pos="1134"/>
        </w:tabs>
        <w:ind w:firstLine="349"/>
        <w:rPr>
          <w:rFonts w:eastAsia="Times New Roman" w:cs="Calibri"/>
          <w:lang w:eastAsia="ru-RU"/>
        </w:rPr>
      </w:pPr>
      <w:r w:rsidRPr="00336969">
        <w:rPr>
          <w:rFonts w:eastAsia="Times New Roman" w:cs="Calibri"/>
          <w:lang w:eastAsia="ru-RU"/>
        </w:rPr>
        <w:lastRenderedPageBreak/>
        <w:t>Наличие одного или более следующих признаков:</w:t>
      </w:r>
    </w:p>
    <w:p w:rsidR="00AA7468" w:rsidRPr="00336969" w:rsidRDefault="00AA7468" w:rsidP="00460059">
      <w:pPr>
        <w:numPr>
          <w:ilvl w:val="1"/>
          <w:numId w:val="15"/>
        </w:numPr>
        <w:ind w:firstLine="54"/>
        <w:rPr>
          <w:rFonts w:eastAsia="Times New Roman" w:cs="Calibri"/>
          <w:lang w:eastAsia="ru-RU"/>
        </w:rPr>
      </w:pPr>
      <w:r w:rsidRPr="00336969">
        <w:rPr>
          <w:rFonts w:eastAsia="Times New Roman" w:cs="Calibri"/>
          <w:lang w:eastAsia="ru-RU"/>
        </w:rPr>
        <w:t>абсолютное количество клеток Сезари в крови ≥ 1000 клеток/мм</w:t>
      </w:r>
      <w:r w:rsidRPr="00336969">
        <w:rPr>
          <w:rFonts w:eastAsia="Times New Roman" w:cs="Calibri"/>
          <w:vertAlign w:val="superscript"/>
          <w:lang w:eastAsia="ru-RU"/>
        </w:rPr>
        <w:t>3</w:t>
      </w:r>
    </w:p>
    <w:p w:rsidR="00AA7468" w:rsidRDefault="00AA7468" w:rsidP="00460059">
      <w:pPr>
        <w:numPr>
          <w:ilvl w:val="1"/>
          <w:numId w:val="15"/>
        </w:numPr>
        <w:ind w:firstLine="54"/>
        <w:rPr>
          <w:rFonts w:eastAsia="Times New Roman" w:cs="Calibri"/>
          <w:lang w:eastAsia="ru-RU"/>
        </w:rPr>
      </w:pPr>
      <w:r w:rsidRPr="00336969">
        <w:rPr>
          <w:rFonts w:eastAsia="Times New Roman" w:cs="Calibri"/>
          <w:lang w:eastAsia="ru-RU"/>
        </w:rPr>
        <w:t>повышен</w:t>
      </w:r>
      <w:r w:rsidR="00B032D2">
        <w:rPr>
          <w:rFonts w:eastAsia="Times New Roman" w:cs="Calibri"/>
          <w:lang w:eastAsia="ru-RU"/>
        </w:rPr>
        <w:t>н</w:t>
      </w:r>
      <w:r w:rsidRPr="00336969">
        <w:rPr>
          <w:rFonts w:eastAsia="Times New Roman" w:cs="Calibri"/>
          <w:lang w:eastAsia="ru-RU"/>
        </w:rPr>
        <w:t>о</w:t>
      </w:r>
      <w:r w:rsidR="00B032D2">
        <w:rPr>
          <w:rFonts w:eastAsia="Times New Roman" w:cs="Calibri"/>
          <w:lang w:eastAsia="ru-RU"/>
        </w:rPr>
        <w:t>е</w:t>
      </w:r>
      <w:r w:rsidRPr="00336969">
        <w:rPr>
          <w:rFonts w:eastAsia="Times New Roman" w:cs="Calibri"/>
          <w:lang w:eastAsia="ru-RU"/>
        </w:rPr>
        <w:t xml:space="preserve"> содержание </w:t>
      </w:r>
      <w:r w:rsidRPr="00336969">
        <w:rPr>
          <w:rFonts w:eastAsia="Times New Roman" w:cs="Calibri"/>
          <w:lang w:val="en-US" w:eastAsia="ru-RU"/>
        </w:rPr>
        <w:t>CD</w:t>
      </w:r>
      <w:r w:rsidRPr="00336969">
        <w:rPr>
          <w:rFonts w:eastAsia="Times New Roman" w:cs="Calibri"/>
          <w:lang w:eastAsia="ru-RU"/>
        </w:rPr>
        <w:t xml:space="preserve">3+ или </w:t>
      </w:r>
      <w:r w:rsidRPr="00336969">
        <w:rPr>
          <w:rFonts w:eastAsia="Times New Roman" w:cs="Calibri"/>
          <w:lang w:val="en-US" w:eastAsia="ru-RU"/>
        </w:rPr>
        <w:t>CD</w:t>
      </w:r>
      <w:r w:rsidRPr="00336969">
        <w:rPr>
          <w:rFonts w:eastAsia="Times New Roman" w:cs="Calibri"/>
          <w:lang w:eastAsia="ru-RU"/>
        </w:rPr>
        <w:t xml:space="preserve">4+ клеток </w:t>
      </w:r>
      <w:r w:rsidR="00B032D2">
        <w:rPr>
          <w:rFonts w:eastAsia="Times New Roman" w:cs="Calibri"/>
          <w:lang w:eastAsia="ru-RU"/>
        </w:rPr>
        <w:t xml:space="preserve">в </w:t>
      </w:r>
      <w:r w:rsidRPr="00336969">
        <w:rPr>
          <w:rFonts w:eastAsia="Times New Roman" w:cs="Calibri"/>
          <w:lang w:eastAsia="ru-RU"/>
        </w:rPr>
        <w:t xml:space="preserve">периферической крови с коэффициентом отношения </w:t>
      </w:r>
      <w:r w:rsidRPr="00336969">
        <w:rPr>
          <w:rFonts w:eastAsia="Times New Roman" w:cs="Calibri"/>
          <w:lang w:val="en-US" w:eastAsia="ru-RU"/>
        </w:rPr>
        <w:t>CD</w:t>
      </w:r>
      <w:r w:rsidRPr="00336969">
        <w:rPr>
          <w:rFonts w:eastAsia="Times New Roman" w:cs="Calibri"/>
          <w:lang w:eastAsia="ru-RU"/>
        </w:rPr>
        <w:t>4/</w:t>
      </w:r>
      <w:r w:rsidRPr="00336969">
        <w:rPr>
          <w:rFonts w:eastAsia="Times New Roman" w:cs="Calibri"/>
          <w:lang w:val="en-US" w:eastAsia="ru-RU"/>
        </w:rPr>
        <w:t>CD</w:t>
      </w:r>
      <w:r w:rsidRPr="00336969">
        <w:rPr>
          <w:rFonts w:eastAsia="Times New Roman" w:cs="Calibri"/>
          <w:lang w:eastAsia="ru-RU"/>
        </w:rPr>
        <w:t>8 ≥ 10 (определяется при помощи проточной цитометрии)</w:t>
      </w:r>
    </w:p>
    <w:p w:rsidR="00877EF5" w:rsidRPr="00AA7468" w:rsidRDefault="00AA7468" w:rsidP="00460059">
      <w:pPr>
        <w:numPr>
          <w:ilvl w:val="1"/>
          <w:numId w:val="15"/>
        </w:numPr>
        <w:ind w:firstLine="54"/>
        <w:rPr>
          <w:rFonts w:eastAsia="Times New Roman" w:cs="Calibri"/>
          <w:lang w:eastAsia="ru-RU"/>
        </w:rPr>
      </w:pPr>
      <w:r w:rsidRPr="00336969">
        <w:rPr>
          <w:rFonts w:eastAsia="Times New Roman" w:cs="Calibri"/>
          <w:lang w:eastAsia="ru-RU"/>
        </w:rPr>
        <w:t>повышен</w:t>
      </w:r>
      <w:r w:rsidR="00453C48">
        <w:rPr>
          <w:rFonts w:eastAsia="Times New Roman" w:cs="Calibri"/>
          <w:lang w:eastAsia="ru-RU"/>
        </w:rPr>
        <w:t>н</w:t>
      </w:r>
      <w:r w:rsidRPr="00336969">
        <w:rPr>
          <w:rFonts w:eastAsia="Times New Roman" w:cs="Calibri"/>
          <w:lang w:eastAsia="ru-RU"/>
        </w:rPr>
        <w:t>о</w:t>
      </w:r>
      <w:r w:rsidR="00453C48">
        <w:rPr>
          <w:rFonts w:eastAsia="Times New Roman" w:cs="Calibri"/>
          <w:lang w:eastAsia="ru-RU"/>
        </w:rPr>
        <w:t>е</w:t>
      </w:r>
      <w:r w:rsidRPr="00336969">
        <w:rPr>
          <w:rFonts w:eastAsia="Times New Roman" w:cs="Calibri"/>
          <w:lang w:eastAsia="ru-RU"/>
        </w:rPr>
        <w:t xml:space="preserve"> содержание </w:t>
      </w:r>
      <w:r w:rsidRPr="00336969">
        <w:rPr>
          <w:rFonts w:eastAsia="Times New Roman" w:cs="Calibri"/>
          <w:lang w:val="en-US" w:eastAsia="ru-RU"/>
        </w:rPr>
        <w:t>CD</w:t>
      </w:r>
      <w:r w:rsidRPr="00336969">
        <w:rPr>
          <w:rFonts w:eastAsia="Times New Roman" w:cs="Calibri"/>
          <w:lang w:eastAsia="ru-RU"/>
        </w:rPr>
        <w:t xml:space="preserve">4+ клеток </w:t>
      </w:r>
      <w:r w:rsidR="00453C48">
        <w:rPr>
          <w:rFonts w:eastAsia="Times New Roman" w:cs="Calibri"/>
          <w:lang w:eastAsia="ru-RU"/>
        </w:rPr>
        <w:t xml:space="preserve">в </w:t>
      </w:r>
      <w:r w:rsidRPr="00336969">
        <w:rPr>
          <w:rFonts w:eastAsia="Times New Roman" w:cs="Calibri"/>
          <w:lang w:eastAsia="ru-RU"/>
        </w:rPr>
        <w:t>периферической крови с аберран</w:t>
      </w:r>
      <w:r w:rsidR="00453C48">
        <w:rPr>
          <w:rFonts w:eastAsia="Times New Roman" w:cs="Calibri"/>
          <w:lang w:eastAsia="ru-RU"/>
        </w:rPr>
        <w:t>тным иммунофенотипом, включающим</w:t>
      </w:r>
      <w:r w:rsidRPr="00336969">
        <w:rPr>
          <w:rFonts w:eastAsia="Times New Roman" w:cs="Calibri"/>
          <w:lang w:eastAsia="ru-RU"/>
        </w:rPr>
        <w:t xml:space="preserve"> отсутствие экспрессии </w:t>
      </w:r>
      <w:r w:rsidRPr="00336969">
        <w:rPr>
          <w:rFonts w:eastAsia="Times New Roman" w:cs="Calibri"/>
          <w:lang w:val="en-US" w:eastAsia="ru-RU"/>
        </w:rPr>
        <w:t>CD</w:t>
      </w:r>
      <w:r w:rsidRPr="00336969">
        <w:rPr>
          <w:rFonts w:eastAsia="Times New Roman" w:cs="Calibri"/>
          <w:lang w:eastAsia="ru-RU"/>
        </w:rPr>
        <w:t xml:space="preserve">7 (≥ 40% </w:t>
      </w:r>
      <w:r w:rsidRPr="00336969">
        <w:rPr>
          <w:rFonts w:eastAsia="Times New Roman" w:cs="Calibri"/>
          <w:lang w:val="en-US" w:eastAsia="ru-RU"/>
        </w:rPr>
        <w:t>CD</w:t>
      </w:r>
      <w:r w:rsidRPr="00336969">
        <w:rPr>
          <w:rFonts w:eastAsia="Times New Roman" w:cs="Calibri"/>
          <w:lang w:eastAsia="ru-RU"/>
        </w:rPr>
        <w:t>4+С</w:t>
      </w:r>
      <w:r w:rsidRPr="00336969">
        <w:rPr>
          <w:rFonts w:eastAsia="Times New Roman" w:cs="Calibri"/>
          <w:lang w:val="en-US" w:eastAsia="ru-RU"/>
        </w:rPr>
        <w:t>D</w:t>
      </w:r>
      <w:r w:rsidRPr="00336969">
        <w:rPr>
          <w:rFonts w:eastAsia="Times New Roman" w:cs="Calibri"/>
          <w:lang w:eastAsia="ru-RU"/>
        </w:rPr>
        <w:t xml:space="preserve">7- клеток) или </w:t>
      </w:r>
      <w:r w:rsidRPr="00336969">
        <w:rPr>
          <w:rFonts w:eastAsia="Times New Roman" w:cs="Calibri"/>
          <w:lang w:val="en-US" w:eastAsia="ru-RU"/>
        </w:rPr>
        <w:t>CD</w:t>
      </w:r>
      <w:r w:rsidRPr="00336969">
        <w:rPr>
          <w:rFonts w:eastAsia="Times New Roman" w:cs="Calibri"/>
          <w:lang w:eastAsia="ru-RU"/>
        </w:rPr>
        <w:t xml:space="preserve">26 (≥ 30% </w:t>
      </w:r>
      <w:r w:rsidRPr="00336969">
        <w:rPr>
          <w:rFonts w:eastAsia="Times New Roman" w:cs="Calibri"/>
          <w:lang w:val="en-US" w:eastAsia="ru-RU"/>
        </w:rPr>
        <w:t>CD</w:t>
      </w:r>
      <w:r w:rsidRPr="00336969">
        <w:rPr>
          <w:rFonts w:eastAsia="Times New Roman" w:cs="Calibri"/>
          <w:lang w:eastAsia="ru-RU"/>
        </w:rPr>
        <w:t>4+</w:t>
      </w:r>
      <w:r w:rsidRPr="00336969">
        <w:rPr>
          <w:rFonts w:eastAsia="Times New Roman" w:cs="Calibri"/>
          <w:lang w:val="en-US" w:eastAsia="ru-RU"/>
        </w:rPr>
        <w:t>CD</w:t>
      </w:r>
      <w:r w:rsidRPr="00336969">
        <w:rPr>
          <w:rFonts w:eastAsia="Times New Roman" w:cs="Calibri"/>
          <w:lang w:eastAsia="ru-RU"/>
        </w:rPr>
        <w:t>26- клеток)</w:t>
      </w:r>
      <w:r w:rsidRPr="00D74813">
        <w:rPr>
          <w:i/>
        </w:rPr>
        <w:t>.</w:t>
      </w:r>
      <w:bookmarkStart w:id="30" w:name="_Toc469402336"/>
      <w:bookmarkStart w:id="31" w:name="_Toc468273531"/>
      <w:bookmarkStart w:id="32" w:name="_Toc468273449"/>
      <w:bookmarkEnd w:id="30"/>
      <w:bookmarkEnd w:id="31"/>
      <w:bookmarkEnd w:id="32"/>
    </w:p>
    <w:p w:rsidR="00B46390" w:rsidRDefault="00B46390" w:rsidP="0021676E">
      <w:pPr>
        <w:pStyle w:val="2"/>
        <w:divId w:val="266810958"/>
      </w:pPr>
      <w:bookmarkStart w:id="33" w:name="_Toc36831349"/>
      <w:bookmarkStart w:id="34" w:name="_Toc34301082"/>
      <w:r w:rsidRPr="00B46390">
        <w:t>2.1 Жалобы и анамнез</w:t>
      </w:r>
      <w:bookmarkEnd w:id="33"/>
      <w:bookmarkEnd w:id="34"/>
    </w:p>
    <w:p w:rsidR="00F756F0" w:rsidRPr="00AA7468" w:rsidRDefault="00AA7468" w:rsidP="00334F6C">
      <w:pPr>
        <w:pStyle w:val="2-6"/>
        <w:divId w:val="266810958"/>
        <w:rPr>
          <w:rStyle w:val="affb"/>
          <w:i w:val="0"/>
          <w:iCs w:val="0"/>
        </w:rPr>
      </w:pPr>
      <w:r w:rsidRPr="00AA7468">
        <w:rPr>
          <w:rStyle w:val="afffb"/>
          <w:rFonts w:eastAsia="Calibri"/>
          <w:i w:val="0"/>
          <w:color w:val="auto"/>
          <w:sz w:val="24"/>
        </w:rPr>
        <w:t>Жалобы и анамнез</w:t>
      </w:r>
      <w:r w:rsidR="00F844F6" w:rsidRPr="007C6EA6">
        <w:rPr>
          <w:rStyle w:val="afffb"/>
          <w:rFonts w:eastAsia="Calibri"/>
          <w:i w:val="0"/>
          <w:color w:val="auto"/>
          <w:sz w:val="24"/>
        </w:rPr>
        <w:t xml:space="preserve"> </w:t>
      </w:r>
      <w:r>
        <w:rPr>
          <w:rStyle w:val="affb"/>
          <w:i w:val="0"/>
          <w:iCs w:val="0"/>
        </w:rPr>
        <w:t>описаны в разделе «Клиническая картина».</w:t>
      </w:r>
    </w:p>
    <w:p w:rsidR="00B46390" w:rsidRDefault="00B46390" w:rsidP="0021676E">
      <w:pPr>
        <w:pStyle w:val="2"/>
        <w:divId w:val="266810958"/>
      </w:pPr>
      <w:bookmarkStart w:id="35" w:name="_Toc36831350"/>
      <w:bookmarkStart w:id="36" w:name="_Toc34301083"/>
      <w:r w:rsidRPr="00B46390">
        <w:t xml:space="preserve">2.2 </w:t>
      </w:r>
      <w:r w:rsidRPr="0021676E">
        <w:t>Физикальное</w:t>
      </w:r>
      <w:r w:rsidRPr="00B46390">
        <w:t xml:space="preserve"> обследование</w:t>
      </w:r>
      <w:bookmarkEnd w:id="35"/>
      <w:bookmarkEnd w:id="36"/>
    </w:p>
    <w:p w:rsidR="00F756F0" w:rsidRPr="00D74813" w:rsidRDefault="00AA7468" w:rsidP="00334F6C">
      <w:pPr>
        <w:pStyle w:val="2-6"/>
        <w:divId w:val="266810958"/>
        <w:rPr>
          <w:rStyle w:val="affb"/>
          <w:iCs w:val="0"/>
        </w:rPr>
      </w:pPr>
      <w:r>
        <w:rPr>
          <w:rStyle w:val="affb"/>
          <w:i w:val="0"/>
          <w:iCs w:val="0"/>
        </w:rPr>
        <w:t>Данные физикального обследования описаны в разделе «Клиническая картина».</w:t>
      </w:r>
    </w:p>
    <w:p w:rsidR="00094ED6" w:rsidRDefault="00B46390" w:rsidP="0021676E">
      <w:pPr>
        <w:pStyle w:val="2"/>
        <w:divId w:val="266810958"/>
      </w:pPr>
      <w:bookmarkStart w:id="37" w:name="_Toc36831351"/>
      <w:bookmarkStart w:id="38" w:name="_Toc34301084"/>
      <w:r w:rsidRPr="00B46390">
        <w:t>2.3 Лабораторн</w:t>
      </w:r>
      <w:r w:rsidR="00A70F44">
        <w:t>ые диагностические исследования</w:t>
      </w:r>
      <w:bookmarkEnd w:id="37"/>
      <w:bookmarkEnd w:id="38"/>
    </w:p>
    <w:p w:rsidR="003F7BB1" w:rsidRPr="007D49C0" w:rsidRDefault="003F7BB1" w:rsidP="007C6EA6">
      <w:pPr>
        <w:pStyle w:val="afff7"/>
        <w:divId w:val="266810958"/>
        <w:rPr>
          <w:rStyle w:val="affb"/>
          <w:rFonts w:eastAsiaTheme="minorEastAsia"/>
          <w:i w:val="0"/>
          <w:iCs w:val="0"/>
        </w:rPr>
      </w:pPr>
      <w:r w:rsidRPr="007C6EA6">
        <w:rPr>
          <w:rStyle w:val="affa"/>
          <w:b w:val="0"/>
          <w:bCs w:val="0"/>
        </w:rPr>
        <w:t>Рекомендуется пациентам</w:t>
      </w:r>
      <w:r w:rsidRPr="007C6EA6">
        <w:t xml:space="preserve"> с клиническими проявлениями синдрома Сезари для выявления </w:t>
      </w:r>
      <w:r w:rsidR="00877FEC" w:rsidRPr="007C6EA6">
        <w:t xml:space="preserve">в периферической крови лимфоцитов с </w:t>
      </w:r>
      <w:r w:rsidRPr="007C6EA6">
        <w:t>признак</w:t>
      </w:r>
      <w:r w:rsidR="00877FEC" w:rsidRPr="007C6EA6">
        <w:t>ами</w:t>
      </w:r>
      <w:r w:rsidRPr="007C6EA6">
        <w:t xml:space="preserve"> злокачественной трансформации</w:t>
      </w:r>
      <w:r w:rsidR="00877FEC" w:rsidRPr="007C6EA6">
        <w:t xml:space="preserve"> (клеток Сезари) </w:t>
      </w:r>
      <w:r w:rsidRPr="007C6EA6">
        <w:rPr>
          <w:rFonts w:eastAsiaTheme="minorHAnsi"/>
        </w:rPr>
        <w:t xml:space="preserve">исследование биологического материала методом </w:t>
      </w:r>
      <w:r w:rsidRPr="007D49C0">
        <w:rPr>
          <w:rFonts w:eastAsiaTheme="minorHAnsi"/>
        </w:rPr>
        <w:t xml:space="preserve">проточной цитофлуориметрии </w:t>
      </w:r>
      <w:r w:rsidRPr="007D49C0">
        <w:rPr>
          <w:rStyle w:val="affb"/>
          <w:i w:val="0"/>
          <w:iCs w:val="0"/>
        </w:rPr>
        <w:t>[</w:t>
      </w:r>
      <w:r w:rsidR="007F5462" w:rsidRPr="007D49C0">
        <w:rPr>
          <w:rStyle w:val="affb"/>
          <w:i w:val="0"/>
          <w:iCs w:val="0"/>
        </w:rPr>
        <w:t>7, 16–19</w:t>
      </w:r>
      <w:r w:rsidRPr="007D49C0">
        <w:rPr>
          <w:rStyle w:val="affb"/>
          <w:i w:val="0"/>
          <w:iCs w:val="0"/>
        </w:rPr>
        <w:t>]</w:t>
      </w:r>
      <w:r w:rsidR="007F5462" w:rsidRPr="007D49C0">
        <w:rPr>
          <w:rStyle w:val="affb"/>
          <w:i w:val="0"/>
          <w:iCs w:val="0"/>
        </w:rPr>
        <w:t>.</w:t>
      </w:r>
    </w:p>
    <w:p w:rsidR="003F7BB1" w:rsidRPr="007D49C0" w:rsidRDefault="003F7BB1" w:rsidP="003F7BB1">
      <w:pPr>
        <w:ind w:left="708" w:firstLine="0"/>
        <w:divId w:val="266810958"/>
        <w:rPr>
          <w:rFonts w:eastAsiaTheme="minorEastAsia"/>
          <w:b/>
        </w:rPr>
      </w:pPr>
      <w:r w:rsidRPr="007D49C0">
        <w:rPr>
          <w:rStyle w:val="affa"/>
        </w:rPr>
        <w:t xml:space="preserve">Уровень убедительности рекомендаций </w:t>
      </w:r>
      <w:r w:rsidRPr="007D49C0">
        <w:rPr>
          <w:rStyle w:val="affa"/>
        </w:rPr>
        <w:softHyphen/>
        <w:t xml:space="preserve">С </w:t>
      </w:r>
      <w:r w:rsidRPr="007D49C0">
        <w:rPr>
          <w:b/>
        </w:rPr>
        <w:t>(уровень достоверности доказательств – 2)</w:t>
      </w:r>
    </w:p>
    <w:p w:rsidR="003F7BB1" w:rsidRPr="007D49C0" w:rsidRDefault="003F7BB1" w:rsidP="003F7BB1">
      <w:pPr>
        <w:pStyle w:val="aff2"/>
        <w:divId w:val="266810958"/>
      </w:pPr>
      <w:r w:rsidRPr="007D49C0">
        <w:rPr>
          <w:rStyle w:val="affa"/>
        </w:rPr>
        <w:t xml:space="preserve">Комментарии: </w:t>
      </w:r>
      <w:r w:rsidR="007C1C81" w:rsidRPr="007D49C0">
        <w:t xml:space="preserve">Для исследования методом проточной цитофлуориметрии используется кровь. </w:t>
      </w:r>
      <w:r w:rsidRPr="007D49C0">
        <w:t>Исследование</w:t>
      </w:r>
      <w:r w:rsidR="007C1C81" w:rsidRPr="007D49C0">
        <w:t xml:space="preserve"> проводится</w:t>
      </w:r>
      <w:r w:rsidRPr="007D49C0">
        <w:t xml:space="preserve"> </w:t>
      </w:r>
      <w:r w:rsidR="00877FEC" w:rsidRPr="007D49C0">
        <w:t xml:space="preserve">для выявления маркеров Т-лимфоцитов, циркулирующих в крови, – CD3, CD4, CD7, CD26. Т-лимфоциты с аберрантной экспрессией маркеров </w:t>
      </w:r>
      <w:r w:rsidR="007C1C81" w:rsidRPr="007D49C0">
        <w:t xml:space="preserve">CD3, CD4, CD7, CD26 являются клетками Сезари. </w:t>
      </w:r>
      <w:r w:rsidRPr="007D49C0">
        <w:t xml:space="preserve">Диагностически значимым является абсолютное количество клеток Сезари в крови ≥ 1000 клеток/мм3 </w:t>
      </w:r>
      <w:r w:rsidR="007C1C81" w:rsidRPr="007D49C0">
        <w:t xml:space="preserve">или содержание </w:t>
      </w:r>
      <w:r w:rsidR="007C1C81" w:rsidRPr="007D49C0">
        <w:rPr>
          <w:rFonts w:eastAsia="Times New Roman" w:cs="Calibri"/>
          <w:i/>
          <w:lang w:eastAsia="ru-RU"/>
        </w:rPr>
        <w:t xml:space="preserve">атипичных лимфоцитов &gt;5%. При этом </w:t>
      </w:r>
      <w:r w:rsidR="007C1C81" w:rsidRPr="007D49C0">
        <w:t xml:space="preserve">подсчитывается общее число лейкоцитов, общее число лимфоцитов, число атипичных лимфоцитов, приходящихся на 100 лимфоцитов. </w:t>
      </w:r>
      <w:r w:rsidRPr="007D49C0">
        <w:t xml:space="preserve">Диагностически значимым является </w:t>
      </w:r>
      <w:r w:rsidR="007C1C81" w:rsidRPr="007D49C0">
        <w:t xml:space="preserve">также </w:t>
      </w:r>
      <w:r w:rsidRPr="007D49C0">
        <w:t>повышенное содержание CD3+ или CD4+ клеток периферической крови с коэффициентом отношения CD4/CD8 ≥ 10; повышенное содержание CD4+ клеток периферической крови с аберрантным иммунофенотипом, включающем отсутствие экспрессии CD7 (≥ 40% CD4+СD7- клеток) или CD26 (≥ 30% CD4+CD26- клеток)</w:t>
      </w:r>
      <w:r w:rsidR="007C1C81" w:rsidRPr="007D49C0">
        <w:t xml:space="preserve"> [</w:t>
      </w:r>
      <w:r w:rsidR="007F5462" w:rsidRPr="007D49C0">
        <w:t>18</w:t>
      </w:r>
      <w:r w:rsidR="007C1C81" w:rsidRPr="007D49C0">
        <w:t>]</w:t>
      </w:r>
      <w:r w:rsidRPr="007D49C0">
        <w:t>.</w:t>
      </w:r>
    </w:p>
    <w:p w:rsidR="00381F00" w:rsidRPr="007D49C0" w:rsidRDefault="00381F00" w:rsidP="007C6EA6">
      <w:pPr>
        <w:pStyle w:val="afff7"/>
        <w:divId w:val="266810958"/>
      </w:pPr>
      <w:r w:rsidRPr="007D49C0">
        <w:rPr>
          <w:rStyle w:val="affa"/>
        </w:rPr>
        <w:lastRenderedPageBreak/>
        <w:t>Рекомендуется</w:t>
      </w:r>
      <w:r w:rsidR="007211B1" w:rsidRPr="007D49C0">
        <w:rPr>
          <w:rStyle w:val="affa"/>
        </w:rPr>
        <w:t xml:space="preserve"> </w:t>
      </w:r>
      <w:r w:rsidR="003F7BB1" w:rsidRPr="007D49C0">
        <w:rPr>
          <w:rStyle w:val="affa"/>
          <w:b w:val="0"/>
        </w:rPr>
        <w:t>пациентам</w:t>
      </w:r>
      <w:r w:rsidR="003F7BB1" w:rsidRPr="007D49C0">
        <w:t xml:space="preserve"> с клиническими и гистологическими проявлениями синдрома Сезари для выявления признаков злокачественной трансформации лимфоцитов, инфильтрирующих кожу, </w:t>
      </w:r>
      <w:r w:rsidRPr="007D49C0">
        <w:t>патолого-анатомическое исследование биопсийного</w:t>
      </w:r>
      <w:r w:rsidR="00A550DB" w:rsidRPr="007D49C0">
        <w:t xml:space="preserve"> (операционного)</w:t>
      </w:r>
      <w:r w:rsidRPr="007D49C0">
        <w:t xml:space="preserve"> материала кожи с применением иммуногистохимических методов</w:t>
      </w:r>
      <w:r w:rsidR="007211B1" w:rsidRPr="007D49C0">
        <w:t xml:space="preserve"> </w:t>
      </w:r>
      <w:r w:rsidRPr="007D49C0">
        <w:rPr>
          <w:rStyle w:val="affb"/>
          <w:i w:val="0"/>
        </w:rPr>
        <w:t>[</w:t>
      </w:r>
      <w:r w:rsidR="007F5462" w:rsidRPr="007D49C0">
        <w:rPr>
          <w:rStyle w:val="affb"/>
          <w:i w:val="0"/>
        </w:rPr>
        <w:t>7, 11, 19, 20</w:t>
      </w:r>
      <w:r w:rsidRPr="007D49C0">
        <w:rPr>
          <w:rStyle w:val="affb"/>
          <w:i w:val="0"/>
        </w:rPr>
        <w:t>]</w:t>
      </w:r>
    </w:p>
    <w:p w:rsidR="00381F00" w:rsidRPr="007D49C0" w:rsidRDefault="00381F00" w:rsidP="00381F00">
      <w:pPr>
        <w:pStyle w:val="afb"/>
        <w:spacing w:beforeAutospacing="0" w:afterAutospacing="0" w:line="360" w:lineRule="auto"/>
        <w:ind w:left="709" w:firstLine="0"/>
        <w:divId w:val="266810958"/>
        <w:rPr>
          <w:rFonts w:eastAsiaTheme="minorEastAsia"/>
          <w:b/>
        </w:rPr>
      </w:pPr>
      <w:r w:rsidRPr="007D49C0">
        <w:rPr>
          <w:rStyle w:val="affa"/>
        </w:rPr>
        <w:t xml:space="preserve">Уровень убедительности рекомендаций </w:t>
      </w:r>
      <w:r w:rsidRPr="007D49C0">
        <w:rPr>
          <w:rStyle w:val="affa"/>
        </w:rPr>
        <w:softHyphen/>
        <w:t xml:space="preserve"> С</w:t>
      </w:r>
      <w:r w:rsidR="00662E4E" w:rsidRPr="007D49C0">
        <w:rPr>
          <w:rStyle w:val="affa"/>
        </w:rPr>
        <w:t xml:space="preserve"> </w:t>
      </w:r>
      <w:r w:rsidRPr="007D49C0">
        <w:rPr>
          <w:b/>
        </w:rPr>
        <w:t>(уровень достоверности доказательств – 5)</w:t>
      </w:r>
    </w:p>
    <w:p w:rsidR="00381F00" w:rsidRPr="007D49C0" w:rsidRDefault="00381F00" w:rsidP="00381F00">
      <w:pPr>
        <w:pStyle w:val="aff2"/>
        <w:divId w:val="266810958"/>
        <w:rPr>
          <w:i/>
          <w:iCs/>
        </w:rPr>
      </w:pPr>
      <w:r w:rsidRPr="007D49C0">
        <w:rPr>
          <w:rStyle w:val="affa"/>
        </w:rPr>
        <w:t>Комментарии:</w:t>
      </w:r>
      <w:r w:rsidR="002463B8" w:rsidRPr="007D49C0">
        <w:rPr>
          <w:rStyle w:val="affa"/>
        </w:rPr>
        <w:t xml:space="preserve"> </w:t>
      </w:r>
      <w:r w:rsidR="00961EB9" w:rsidRPr="007D49C0">
        <w:rPr>
          <w:i/>
        </w:rPr>
        <w:t xml:space="preserve">Необходимо определение маркеров </w:t>
      </w:r>
      <w:r w:rsidR="00961EB9" w:rsidRPr="007D49C0">
        <w:rPr>
          <w:rFonts w:eastAsia="Times New Roman"/>
          <w:i/>
          <w:lang w:val="en-US"/>
        </w:rPr>
        <w:t>CD</w:t>
      </w:r>
      <w:r w:rsidR="00961EB9" w:rsidRPr="007D49C0">
        <w:rPr>
          <w:rFonts w:eastAsia="Times New Roman"/>
          <w:i/>
        </w:rPr>
        <w:t xml:space="preserve">2, </w:t>
      </w:r>
      <w:r w:rsidR="00961EB9" w:rsidRPr="007D49C0">
        <w:rPr>
          <w:rFonts w:eastAsia="Times New Roman"/>
          <w:i/>
          <w:lang w:val="en-US"/>
        </w:rPr>
        <w:t>CD</w:t>
      </w:r>
      <w:r w:rsidR="00961EB9" w:rsidRPr="007D49C0">
        <w:rPr>
          <w:rFonts w:eastAsia="Times New Roman"/>
          <w:i/>
        </w:rPr>
        <w:t xml:space="preserve">3, </w:t>
      </w:r>
      <w:r w:rsidR="00961EB9" w:rsidRPr="007D49C0">
        <w:rPr>
          <w:rFonts w:eastAsia="Times New Roman"/>
          <w:i/>
          <w:lang w:val="en-US"/>
        </w:rPr>
        <w:t>CD</w:t>
      </w:r>
      <w:r w:rsidR="00961EB9" w:rsidRPr="007D49C0">
        <w:rPr>
          <w:rFonts w:eastAsia="Times New Roman"/>
          <w:i/>
        </w:rPr>
        <w:t xml:space="preserve">4, </w:t>
      </w:r>
      <w:r w:rsidR="00961EB9" w:rsidRPr="007D49C0">
        <w:rPr>
          <w:rFonts w:eastAsia="Times New Roman"/>
          <w:i/>
          <w:lang w:val="en-US"/>
        </w:rPr>
        <w:t>CD</w:t>
      </w:r>
      <w:r w:rsidR="00961EB9" w:rsidRPr="007D49C0">
        <w:rPr>
          <w:rFonts w:eastAsia="Times New Roman"/>
          <w:i/>
        </w:rPr>
        <w:t xml:space="preserve">5, </w:t>
      </w:r>
      <w:r w:rsidR="00961EB9" w:rsidRPr="007D49C0">
        <w:rPr>
          <w:rFonts w:eastAsia="Times New Roman"/>
          <w:i/>
          <w:lang w:val="en-US"/>
        </w:rPr>
        <w:t>CD</w:t>
      </w:r>
      <w:r w:rsidR="00961EB9" w:rsidRPr="007D49C0">
        <w:rPr>
          <w:rFonts w:eastAsia="Times New Roman"/>
          <w:i/>
        </w:rPr>
        <w:t xml:space="preserve">7, </w:t>
      </w:r>
      <w:r w:rsidR="00961EB9" w:rsidRPr="007D49C0">
        <w:rPr>
          <w:rFonts w:eastAsia="Times New Roman"/>
          <w:i/>
          <w:lang w:val="en-US"/>
        </w:rPr>
        <w:t>CD</w:t>
      </w:r>
      <w:r w:rsidR="00961EB9" w:rsidRPr="007D49C0">
        <w:rPr>
          <w:rFonts w:eastAsia="Times New Roman"/>
          <w:i/>
        </w:rPr>
        <w:t xml:space="preserve">8, </w:t>
      </w:r>
      <w:r w:rsidR="00961EB9" w:rsidRPr="007D49C0">
        <w:rPr>
          <w:rFonts w:eastAsia="Times New Roman"/>
          <w:i/>
          <w:lang w:val="en-US"/>
        </w:rPr>
        <w:t>CD</w:t>
      </w:r>
      <w:r w:rsidR="00961EB9" w:rsidRPr="007D49C0">
        <w:rPr>
          <w:rFonts w:eastAsia="Times New Roman"/>
          <w:i/>
        </w:rPr>
        <w:t xml:space="preserve">20, </w:t>
      </w:r>
      <w:r w:rsidR="00961EB9" w:rsidRPr="007D49C0">
        <w:rPr>
          <w:rFonts w:eastAsia="Times New Roman"/>
          <w:i/>
          <w:lang w:val="en-US"/>
        </w:rPr>
        <w:t>CD</w:t>
      </w:r>
      <w:r w:rsidR="00961EB9" w:rsidRPr="007D49C0">
        <w:rPr>
          <w:rFonts w:eastAsia="Times New Roman"/>
          <w:i/>
        </w:rPr>
        <w:t xml:space="preserve">30. </w:t>
      </w:r>
      <w:r w:rsidRPr="007D49C0">
        <w:rPr>
          <w:i/>
          <w:iCs/>
        </w:rPr>
        <w:t xml:space="preserve">Неопластические Т-лимфоциты при синдроме Сезари обычно экспрессируют </w:t>
      </w:r>
      <w:r w:rsidRPr="007D49C0">
        <w:rPr>
          <w:i/>
          <w:iCs/>
          <w:lang w:val="en-US"/>
        </w:rPr>
        <w:t>CD</w:t>
      </w:r>
      <w:r w:rsidRPr="007D49C0">
        <w:rPr>
          <w:i/>
          <w:iCs/>
        </w:rPr>
        <w:t xml:space="preserve">3 и </w:t>
      </w:r>
      <w:r w:rsidRPr="007D49C0">
        <w:rPr>
          <w:i/>
          <w:iCs/>
          <w:lang w:val="en-US"/>
        </w:rPr>
        <w:t>CD</w:t>
      </w:r>
      <w:r w:rsidRPr="007D49C0">
        <w:rPr>
          <w:i/>
          <w:iCs/>
        </w:rPr>
        <w:t xml:space="preserve">4, но не экспрессируют </w:t>
      </w:r>
      <w:r w:rsidRPr="007D49C0">
        <w:rPr>
          <w:i/>
          <w:iCs/>
          <w:lang w:val="en-US"/>
        </w:rPr>
        <w:t>CD</w:t>
      </w:r>
      <w:r w:rsidRPr="007D49C0">
        <w:rPr>
          <w:i/>
          <w:iCs/>
        </w:rPr>
        <w:t xml:space="preserve">8. Потеря экспрессии </w:t>
      </w:r>
      <w:r w:rsidRPr="007D49C0">
        <w:rPr>
          <w:i/>
          <w:iCs/>
          <w:lang w:val="en-US"/>
        </w:rPr>
        <w:t>CD</w:t>
      </w:r>
      <w:r w:rsidRPr="007D49C0">
        <w:rPr>
          <w:i/>
          <w:iCs/>
        </w:rPr>
        <w:t>7 (маркера всех Т-лимфоцитов) более чем 50% Т-лимфоцитами инфильтрата и наличие экспрессии белка программируемой гибели клеток 1 (</w:t>
      </w:r>
      <w:r w:rsidRPr="007D49C0">
        <w:rPr>
          <w:i/>
          <w:iCs/>
          <w:lang w:val="en-US"/>
        </w:rPr>
        <w:t>PD</w:t>
      </w:r>
      <w:r w:rsidRPr="007D49C0">
        <w:rPr>
          <w:i/>
          <w:iCs/>
        </w:rPr>
        <w:t>-1) Т-лимфоцитами инфильтрата подтверждают диагноз синдрома Сезари при дифференциальной диагностике с эритродермиями, вызванными воспалительными заболеваниями [</w:t>
      </w:r>
      <w:r w:rsidR="007F5462" w:rsidRPr="007D49C0">
        <w:rPr>
          <w:i/>
        </w:rPr>
        <w:t>14</w:t>
      </w:r>
      <w:r w:rsidRPr="007D49C0">
        <w:rPr>
          <w:i/>
          <w:iCs/>
        </w:rPr>
        <w:t>]. Малое количество (менее 10%) CD8-положительных Т-лимфоцитов в составе кожного инфильтрата в биоптате кожи также указывает на диагноз синдрома Сезари [</w:t>
      </w:r>
      <w:r w:rsidR="007F5462" w:rsidRPr="007D49C0">
        <w:rPr>
          <w:i/>
        </w:rPr>
        <w:t>14</w:t>
      </w:r>
      <w:r w:rsidRPr="007D49C0">
        <w:rPr>
          <w:i/>
          <w:iCs/>
        </w:rPr>
        <w:t>].</w:t>
      </w:r>
    </w:p>
    <w:p w:rsidR="00381F00" w:rsidRPr="007D49C0" w:rsidRDefault="00381F00" w:rsidP="007C6EA6">
      <w:pPr>
        <w:pStyle w:val="afff7"/>
        <w:divId w:val="266810958"/>
      </w:pPr>
      <w:r w:rsidRPr="007D49C0">
        <w:rPr>
          <w:rStyle w:val="affa"/>
        </w:rPr>
        <w:t>Рекомендуется</w:t>
      </w:r>
      <w:r w:rsidR="007211B1" w:rsidRPr="007D49C0">
        <w:rPr>
          <w:rStyle w:val="affa"/>
        </w:rPr>
        <w:t xml:space="preserve"> </w:t>
      </w:r>
      <w:r w:rsidR="00C92B81" w:rsidRPr="007D49C0">
        <w:rPr>
          <w:rStyle w:val="affa"/>
          <w:b w:val="0"/>
        </w:rPr>
        <w:t>для подтверждения диагноза синдрома Сезари путем выявления преобладающего клона Т-лимфоцитов</w:t>
      </w:r>
      <w:r w:rsidR="00C92B81" w:rsidRPr="007D49C0">
        <w:rPr>
          <w:szCs w:val="24"/>
        </w:rPr>
        <w:t xml:space="preserve"> </w:t>
      </w:r>
      <w:r w:rsidRPr="007D49C0">
        <w:rPr>
          <w:szCs w:val="24"/>
        </w:rPr>
        <w:t xml:space="preserve">молекулярно-генетическое исследование T-клеточной </w:t>
      </w:r>
      <w:proofErr w:type="spellStart"/>
      <w:r w:rsidRPr="007D49C0">
        <w:rPr>
          <w:szCs w:val="24"/>
        </w:rPr>
        <w:t>клональности</w:t>
      </w:r>
      <w:proofErr w:type="spellEnd"/>
      <w:r w:rsidRPr="007D49C0">
        <w:rPr>
          <w:szCs w:val="24"/>
        </w:rPr>
        <w:t xml:space="preserve"> </w:t>
      </w:r>
      <w:r w:rsidR="007211B1" w:rsidRPr="007D49C0">
        <w:t xml:space="preserve"> </w:t>
      </w:r>
      <w:r w:rsidRPr="007D49C0">
        <w:rPr>
          <w:rStyle w:val="affb"/>
          <w:i w:val="0"/>
        </w:rPr>
        <w:t>[</w:t>
      </w:r>
      <w:r w:rsidR="007F5462" w:rsidRPr="007D49C0">
        <w:rPr>
          <w:rStyle w:val="affb"/>
          <w:i w:val="0"/>
        </w:rPr>
        <w:t>7, 19</w:t>
      </w:r>
      <w:r w:rsidRPr="007D49C0">
        <w:rPr>
          <w:rStyle w:val="affb"/>
          <w:i w:val="0"/>
        </w:rPr>
        <w:t>]</w:t>
      </w:r>
      <w:r w:rsidRPr="007D49C0">
        <w:rPr>
          <w:rStyle w:val="affb"/>
        </w:rPr>
        <w:t xml:space="preserve">. </w:t>
      </w:r>
    </w:p>
    <w:p w:rsidR="00381F00" w:rsidRPr="007D49C0" w:rsidRDefault="00381F00" w:rsidP="00381F00">
      <w:pPr>
        <w:pStyle w:val="afb"/>
        <w:spacing w:beforeAutospacing="0" w:afterAutospacing="0" w:line="360" w:lineRule="auto"/>
        <w:ind w:left="709" w:firstLine="0"/>
        <w:divId w:val="266810958"/>
        <w:rPr>
          <w:rFonts w:eastAsiaTheme="minorEastAsia"/>
          <w:b/>
        </w:rPr>
      </w:pPr>
      <w:r w:rsidRPr="007D49C0">
        <w:rPr>
          <w:rStyle w:val="affa"/>
        </w:rPr>
        <w:t xml:space="preserve">Уровень убедительности рекомендаций </w:t>
      </w:r>
      <w:r w:rsidRPr="007D49C0">
        <w:rPr>
          <w:rStyle w:val="affa"/>
        </w:rPr>
        <w:softHyphen/>
        <w:t>С</w:t>
      </w:r>
      <w:r w:rsidR="00F37E98" w:rsidRPr="007D49C0">
        <w:rPr>
          <w:rStyle w:val="affa"/>
        </w:rPr>
        <w:t xml:space="preserve"> </w:t>
      </w:r>
      <w:r w:rsidRPr="007D49C0">
        <w:rPr>
          <w:b/>
        </w:rPr>
        <w:t>(уровень достоверности доказательств – 5)</w:t>
      </w:r>
    </w:p>
    <w:p w:rsidR="007146AF" w:rsidRPr="007D49C0" w:rsidRDefault="00381F00" w:rsidP="00381F00">
      <w:pPr>
        <w:pStyle w:val="aff2"/>
        <w:divId w:val="266810958"/>
        <w:rPr>
          <w:i/>
          <w:iCs/>
        </w:rPr>
      </w:pPr>
      <w:r w:rsidRPr="007D49C0">
        <w:rPr>
          <w:rStyle w:val="affa"/>
        </w:rPr>
        <w:t xml:space="preserve">Комментарии: </w:t>
      </w:r>
      <w:r w:rsidR="00C92B81" w:rsidRPr="007D49C0">
        <w:rPr>
          <w:rStyle w:val="affa"/>
          <w:b w:val="0"/>
          <w:i/>
        </w:rPr>
        <w:t xml:space="preserve">Для исследования </w:t>
      </w:r>
      <w:r w:rsidR="00C92B81" w:rsidRPr="007D49C0">
        <w:rPr>
          <w:bCs/>
          <w:i/>
        </w:rPr>
        <w:t>T-клеточной клональности могут использоваться кровь и биопсийный материал кожи пациента.</w:t>
      </w:r>
      <w:r w:rsidR="00C92B81" w:rsidRPr="007D49C0">
        <w:rPr>
          <w:i/>
        </w:rPr>
        <w:t xml:space="preserve"> </w:t>
      </w:r>
      <w:r w:rsidRPr="007D49C0">
        <w:rPr>
          <w:i/>
          <w:iCs/>
        </w:rPr>
        <w:t xml:space="preserve">Доля биоптатов кожи </w:t>
      </w:r>
      <w:r w:rsidR="00A550DB" w:rsidRPr="007D49C0">
        <w:rPr>
          <w:i/>
          <w:iCs/>
        </w:rPr>
        <w:t>пациентов с</w:t>
      </w:r>
      <w:r w:rsidR="008C02A7" w:rsidRPr="007D49C0">
        <w:rPr>
          <w:i/>
          <w:iCs/>
        </w:rPr>
        <w:t xml:space="preserve"> </w:t>
      </w:r>
      <w:r w:rsidR="00961EB9" w:rsidRPr="007D49C0">
        <w:rPr>
          <w:i/>
          <w:iCs/>
        </w:rPr>
        <w:t>Т-клеточными лимфомами кожи</w:t>
      </w:r>
      <w:r w:rsidRPr="007D49C0">
        <w:rPr>
          <w:i/>
          <w:iCs/>
        </w:rPr>
        <w:t>, в которых обнаруживается моноклональная реаранжировка гена Т-клеточного рецептора (TCR) методом полимеразной цепной реакции, может зависеть от метода амплификации</w:t>
      </w:r>
      <w:r w:rsidR="008C02A7" w:rsidRPr="007D49C0">
        <w:rPr>
          <w:i/>
          <w:iCs/>
        </w:rPr>
        <w:t xml:space="preserve"> </w:t>
      </w:r>
      <w:r w:rsidR="00961EB9" w:rsidRPr="007D49C0">
        <w:rPr>
          <w:i/>
          <w:iCs/>
        </w:rPr>
        <w:t>[</w:t>
      </w:r>
      <w:r w:rsidR="007F5462" w:rsidRPr="007D49C0">
        <w:rPr>
          <w:i/>
        </w:rPr>
        <w:t>7</w:t>
      </w:r>
      <w:r w:rsidR="00961EB9" w:rsidRPr="007D49C0">
        <w:rPr>
          <w:i/>
          <w:iCs/>
        </w:rPr>
        <w:t xml:space="preserve">]. </w:t>
      </w:r>
      <w:r w:rsidR="009D4A67" w:rsidRPr="007D49C0">
        <w:rPr>
          <w:i/>
          <w:iCs/>
        </w:rPr>
        <w:t>О</w:t>
      </w:r>
      <w:r w:rsidRPr="007D49C0">
        <w:rPr>
          <w:i/>
          <w:iCs/>
        </w:rPr>
        <w:t xml:space="preserve">писано выявление клонов Т-лимфоцитов методом </w:t>
      </w:r>
      <w:r w:rsidR="00961EB9" w:rsidRPr="007D49C0">
        <w:rPr>
          <w:i/>
          <w:iCs/>
        </w:rPr>
        <w:t>полимеразной цепной реакции</w:t>
      </w:r>
      <w:r w:rsidRPr="007D49C0">
        <w:rPr>
          <w:i/>
          <w:iCs/>
        </w:rPr>
        <w:t xml:space="preserve"> в биоптатах кожи 27 из 30 </w:t>
      </w:r>
      <w:r w:rsidR="00961EB9" w:rsidRPr="007D49C0">
        <w:rPr>
          <w:i/>
          <w:iCs/>
        </w:rPr>
        <w:t>пациентов с</w:t>
      </w:r>
      <w:r w:rsidRPr="007D49C0">
        <w:rPr>
          <w:i/>
          <w:iCs/>
        </w:rPr>
        <w:t xml:space="preserve"> синдромом Сезари [</w:t>
      </w:r>
      <w:r w:rsidR="007F5462" w:rsidRPr="007D49C0">
        <w:rPr>
          <w:i/>
        </w:rPr>
        <w:t>21</w:t>
      </w:r>
      <w:r w:rsidRPr="007D49C0">
        <w:rPr>
          <w:i/>
          <w:iCs/>
        </w:rPr>
        <w:t xml:space="preserve">]. </w:t>
      </w:r>
      <w:r w:rsidR="00797BDB" w:rsidRPr="007D49C0">
        <w:rPr>
          <w:i/>
          <w:iCs/>
        </w:rPr>
        <w:t>С</w:t>
      </w:r>
      <w:r w:rsidR="007146AF" w:rsidRPr="007D49C0">
        <w:rPr>
          <w:i/>
          <w:iCs/>
        </w:rPr>
        <w:t xml:space="preserve">еквенирование биоптатов пораженной кожи </w:t>
      </w:r>
      <w:r w:rsidR="00C579D5" w:rsidRPr="007D49C0">
        <w:rPr>
          <w:i/>
          <w:iCs/>
        </w:rPr>
        <w:t>пациентов с</w:t>
      </w:r>
      <w:r w:rsidR="008C02A7" w:rsidRPr="007D49C0">
        <w:rPr>
          <w:i/>
          <w:iCs/>
        </w:rPr>
        <w:t xml:space="preserve"> </w:t>
      </w:r>
      <w:r w:rsidR="007146AF" w:rsidRPr="007D49C0">
        <w:rPr>
          <w:i/>
          <w:iCs/>
        </w:rPr>
        <w:t>Т-клеточными лимфомами кожи считается более специфичным и чувствительным в обнаружении клона Т-лимфоцитов по сравнению с полимеразной цепной реакцией [</w:t>
      </w:r>
      <w:r w:rsidR="007F5462" w:rsidRPr="007D49C0">
        <w:rPr>
          <w:i/>
        </w:rPr>
        <w:t>22</w:t>
      </w:r>
      <w:r w:rsidR="007146AF" w:rsidRPr="007D49C0">
        <w:rPr>
          <w:i/>
          <w:iCs/>
        </w:rPr>
        <w:t>].</w:t>
      </w:r>
    </w:p>
    <w:p w:rsidR="00381F00" w:rsidRPr="007D49C0" w:rsidRDefault="00961EB9" w:rsidP="00381F00">
      <w:pPr>
        <w:pStyle w:val="aff2"/>
        <w:divId w:val="266810958"/>
        <w:rPr>
          <w:i/>
          <w:iCs/>
        </w:rPr>
      </w:pPr>
      <w:r w:rsidRPr="007D49C0">
        <w:rPr>
          <w:i/>
          <w:iCs/>
        </w:rPr>
        <w:t>Поскольку</w:t>
      </w:r>
      <w:r w:rsidR="00381F00" w:rsidRPr="007D49C0">
        <w:rPr>
          <w:i/>
          <w:iCs/>
        </w:rPr>
        <w:t xml:space="preserve"> моноклональность</w:t>
      </w:r>
      <w:r w:rsidR="008C02A7" w:rsidRPr="007D49C0">
        <w:rPr>
          <w:i/>
          <w:iCs/>
        </w:rPr>
        <w:t xml:space="preserve"> </w:t>
      </w:r>
      <w:r w:rsidRPr="007D49C0">
        <w:rPr>
          <w:i/>
          <w:iCs/>
        </w:rPr>
        <w:t>может быть выявлена в случае некоторых воспалительных заболеваний</w:t>
      </w:r>
      <w:r w:rsidR="00381F00" w:rsidRPr="007D49C0">
        <w:rPr>
          <w:i/>
          <w:iCs/>
        </w:rPr>
        <w:t xml:space="preserve">, результаты </w:t>
      </w:r>
      <w:r w:rsidRPr="007D49C0">
        <w:rPr>
          <w:i/>
          <w:iCs/>
        </w:rPr>
        <w:t>определения</w:t>
      </w:r>
      <w:r w:rsidR="00381F00" w:rsidRPr="007D49C0">
        <w:rPr>
          <w:i/>
          <w:iCs/>
        </w:rPr>
        <w:t xml:space="preserve"> реаранжировки гена </w:t>
      </w:r>
      <w:r w:rsidRPr="007D49C0">
        <w:rPr>
          <w:i/>
          <w:iCs/>
        </w:rPr>
        <w:t>Т-</w:t>
      </w:r>
      <w:r w:rsidRPr="007D49C0">
        <w:rPr>
          <w:i/>
          <w:iCs/>
        </w:rPr>
        <w:lastRenderedPageBreak/>
        <w:t>клеточного рецептора</w:t>
      </w:r>
      <w:r w:rsidR="00381F00" w:rsidRPr="007D49C0">
        <w:rPr>
          <w:i/>
          <w:iCs/>
        </w:rPr>
        <w:t xml:space="preserve"> необходимо рассматривать в сопоставлении с другими данными обследования пациента. Обнаружение идентичных клонов Т-лимфоцитов  в коже и крови может указывать на синдром Сезари, но не на воспалительные причины эритродермии [</w:t>
      </w:r>
      <w:r w:rsidR="007F5462" w:rsidRPr="007D49C0">
        <w:rPr>
          <w:i/>
        </w:rPr>
        <w:t>23</w:t>
      </w:r>
      <w:r w:rsidR="00381F00" w:rsidRPr="007D49C0">
        <w:rPr>
          <w:i/>
          <w:iCs/>
        </w:rPr>
        <w:t xml:space="preserve">]. </w:t>
      </w:r>
    </w:p>
    <w:p w:rsidR="00F9594B" w:rsidRPr="007D49C0" w:rsidRDefault="00DE7BBA">
      <w:pPr>
        <w:pStyle w:val="afff7"/>
        <w:divId w:val="266810958"/>
      </w:pPr>
      <w:r w:rsidRPr="007D49C0">
        <w:rPr>
          <w:rFonts w:eastAsia="Calibri"/>
        </w:rPr>
        <w:t>Рекомендуется просмотр мазка крови для анализа аномалий морфологии эритроцитов, тромбоцитов и лейкоцитов с целью подсчета клеток Сезари в мазке крови при необходимости определения их количества в крови в случае невозможности определить клетки Сезари с помощью проточной цитофлуометрии</w:t>
      </w:r>
      <w:r w:rsidR="007148B4" w:rsidRPr="007D49C0">
        <w:t xml:space="preserve"> </w:t>
      </w:r>
      <w:r w:rsidR="007148B4" w:rsidRPr="007D49C0">
        <w:rPr>
          <w:rStyle w:val="affb"/>
          <w:i w:val="0"/>
        </w:rPr>
        <w:t>[</w:t>
      </w:r>
      <w:r w:rsidR="00920E18" w:rsidRPr="007D49C0">
        <w:rPr>
          <w:bCs/>
          <w:kern w:val="36"/>
          <w:szCs w:val="24"/>
          <w:lang w:eastAsia="ru-RU"/>
        </w:rPr>
        <w:t xml:space="preserve">7, </w:t>
      </w:r>
      <w:r w:rsidR="00F50F81" w:rsidRPr="007D49C0">
        <w:rPr>
          <w:bCs/>
          <w:kern w:val="36"/>
          <w:szCs w:val="24"/>
          <w:lang w:eastAsia="ru-RU"/>
        </w:rPr>
        <w:t>16-17, 27</w:t>
      </w:r>
      <w:r w:rsidR="007148B4" w:rsidRPr="007D49C0">
        <w:rPr>
          <w:rStyle w:val="affb"/>
          <w:i w:val="0"/>
        </w:rPr>
        <w:t>]</w:t>
      </w:r>
      <w:r w:rsidR="007148B4" w:rsidRPr="007D49C0">
        <w:rPr>
          <w:rStyle w:val="affb"/>
        </w:rPr>
        <w:t xml:space="preserve">. </w:t>
      </w:r>
    </w:p>
    <w:p w:rsidR="007148B4" w:rsidRPr="007D49C0" w:rsidRDefault="00DE7BBA" w:rsidP="00920E18">
      <w:pPr>
        <w:pStyle w:val="afb"/>
        <w:spacing w:beforeAutospacing="0" w:afterAutospacing="0" w:line="360" w:lineRule="auto"/>
        <w:ind w:left="709" w:firstLine="0"/>
        <w:divId w:val="266810958"/>
        <w:rPr>
          <w:rFonts w:eastAsiaTheme="minorEastAsia"/>
          <w:b/>
        </w:rPr>
      </w:pPr>
      <w:r w:rsidRPr="007D49C0">
        <w:rPr>
          <w:rStyle w:val="affa"/>
        </w:rPr>
        <w:t xml:space="preserve">Уровень убедительности рекомендаций </w:t>
      </w:r>
      <w:r w:rsidRPr="007D49C0">
        <w:rPr>
          <w:rStyle w:val="affa"/>
        </w:rPr>
        <w:softHyphen/>
        <w:t xml:space="preserve">С </w:t>
      </w:r>
      <w:r w:rsidRPr="007D49C0">
        <w:rPr>
          <w:b/>
        </w:rPr>
        <w:t>(уровень достоверности доказательств – 2)</w:t>
      </w:r>
      <w:r w:rsidR="007148B4" w:rsidRPr="007D49C0">
        <w:rPr>
          <w:i/>
        </w:rPr>
        <w:t xml:space="preserve"> </w:t>
      </w:r>
    </w:p>
    <w:p w:rsidR="007148B4" w:rsidRPr="007148B4" w:rsidRDefault="007148B4" w:rsidP="007148B4">
      <w:pPr>
        <w:numPr>
          <w:ilvl w:val="0"/>
          <w:numId w:val="18"/>
        </w:numPr>
        <w:ind w:left="709" w:hanging="709"/>
        <w:divId w:val="266810958"/>
        <w:rPr>
          <w:rStyle w:val="affa"/>
          <w:rFonts w:eastAsia="Times New Roman"/>
          <w:b w:val="0"/>
          <w:bCs w:val="0"/>
        </w:rPr>
      </w:pPr>
      <w:r w:rsidRPr="007D49C0">
        <w:rPr>
          <w:rStyle w:val="affa"/>
        </w:rPr>
        <w:t xml:space="preserve">Комментарии: </w:t>
      </w:r>
      <w:r w:rsidRPr="007D49C0">
        <w:rPr>
          <w:i/>
        </w:rPr>
        <w:t>Клетки Сезари в мазке крови определяются как клетки, имеющие ядра неправильной формы с множественными инвагинациями ядер, что придает</w:t>
      </w:r>
      <w:r>
        <w:rPr>
          <w:i/>
        </w:rPr>
        <w:t xml:space="preserve"> им церебриформный вид. Различают 3 морфологических варианта клеток Сезари: мелкоклеточный (размер клеток от 8 до 11 мкм), крупноклеточный (размер клеток от 12 до 25 мкм) и двуядерный (клетки с двумя ядрами). В мазках крови необходимо определять абсолютное и относительное (процентное) число этих клеток в общей популяции лимфоцитов</w:t>
      </w:r>
      <w:r w:rsidRPr="00771F98">
        <w:rPr>
          <w:i/>
        </w:rPr>
        <w:t xml:space="preserve"> [</w:t>
      </w:r>
      <w:r w:rsidR="007F5462">
        <w:rPr>
          <w:i/>
        </w:rPr>
        <w:t>25</w:t>
      </w:r>
      <w:r w:rsidRPr="00771F98">
        <w:rPr>
          <w:i/>
        </w:rPr>
        <w:t>]</w:t>
      </w:r>
      <w:r>
        <w:rPr>
          <w:i/>
        </w:rPr>
        <w:t xml:space="preserve">. Выявление </w:t>
      </w:r>
      <w:r w:rsidRPr="008F7871">
        <w:rPr>
          <w:i/>
        </w:rPr>
        <w:t xml:space="preserve">содержания </w:t>
      </w:r>
      <w:r w:rsidRPr="008F7871">
        <w:rPr>
          <w:rFonts w:eastAsia="Times New Roman" w:cs="Calibri"/>
          <w:i/>
          <w:lang w:eastAsia="ru-RU"/>
        </w:rPr>
        <w:t>клеток Сезари в крови ≥ 1000 клеток/мм</w:t>
      </w:r>
      <w:r w:rsidRPr="008F7871">
        <w:rPr>
          <w:rFonts w:eastAsia="Times New Roman" w:cs="Calibri"/>
          <w:i/>
          <w:vertAlign w:val="superscript"/>
          <w:lang w:eastAsia="ru-RU"/>
        </w:rPr>
        <w:t>3</w:t>
      </w:r>
      <w:r>
        <w:rPr>
          <w:rFonts w:eastAsia="Times New Roman" w:cs="Calibri"/>
          <w:i/>
          <w:lang w:eastAsia="ru-RU"/>
        </w:rPr>
        <w:t xml:space="preserve"> подтверждает диагноз синдрома Сезари </w:t>
      </w:r>
      <w:r w:rsidRPr="008F7871">
        <w:rPr>
          <w:rFonts w:eastAsia="Times New Roman" w:cs="Calibri"/>
          <w:i/>
          <w:lang w:eastAsia="ru-RU"/>
        </w:rPr>
        <w:t>[</w:t>
      </w:r>
      <w:r w:rsidR="007F5462">
        <w:rPr>
          <w:i/>
        </w:rPr>
        <w:t>18</w:t>
      </w:r>
      <w:r w:rsidRPr="008F7871">
        <w:rPr>
          <w:rFonts w:eastAsia="Times New Roman" w:cs="Calibri"/>
          <w:i/>
          <w:lang w:eastAsia="ru-RU"/>
        </w:rPr>
        <w:t>]</w:t>
      </w:r>
      <w:r>
        <w:rPr>
          <w:rFonts w:eastAsia="Times New Roman" w:cs="Calibri"/>
          <w:i/>
          <w:lang w:eastAsia="ru-RU"/>
        </w:rPr>
        <w:t>.</w:t>
      </w:r>
    </w:p>
    <w:p w:rsidR="00125031" w:rsidRPr="007D49C0" w:rsidRDefault="00DE7BBA" w:rsidP="00F50F81">
      <w:pPr>
        <w:pStyle w:val="afff7"/>
        <w:divId w:val="266810958"/>
      </w:pPr>
      <w:r w:rsidRPr="00DE7BBA">
        <w:rPr>
          <w:rFonts w:eastAsia="Calibri"/>
        </w:rPr>
        <w:t xml:space="preserve">Рекомендуется общий (клинический) анализ крови развернутый для выявления заболеваний </w:t>
      </w:r>
      <w:r w:rsidR="00460059" w:rsidRPr="00F50F81">
        <w:rPr>
          <w:rFonts w:eastAsia="Calibri"/>
        </w:rPr>
        <w:t>и состояний, являющихся противопоказаниями к проведению системной терапии синдрома Сезари и для контроля безопасности проводимой системной терапии</w:t>
      </w:r>
      <w:r w:rsidR="008C02A7" w:rsidRPr="00F50F81">
        <w:rPr>
          <w:rFonts w:eastAsia="Calibri"/>
        </w:rPr>
        <w:t xml:space="preserve"> </w:t>
      </w:r>
      <w:r w:rsidR="005B4D31" w:rsidRPr="00F50F81">
        <w:rPr>
          <w:rFonts w:eastAsia="Calibri"/>
        </w:rPr>
        <w:t xml:space="preserve">метотрексатом, </w:t>
      </w:r>
      <w:r w:rsidR="00495193" w:rsidRPr="00F50F81">
        <w:rPr>
          <w:rFonts w:eastAsia="Calibri"/>
        </w:rPr>
        <w:t>интерферон</w:t>
      </w:r>
      <w:r w:rsidR="00495193">
        <w:rPr>
          <w:rFonts w:eastAsia="Calibri"/>
        </w:rPr>
        <w:t>ами</w:t>
      </w:r>
      <w:r w:rsidR="00472D64" w:rsidRPr="00F50F81">
        <w:rPr>
          <w:rFonts w:eastAsia="Calibri"/>
        </w:rPr>
        <w:t xml:space="preserve">, </w:t>
      </w:r>
      <w:r w:rsidR="003865DD" w:rsidRPr="00F50F81">
        <w:rPr>
          <w:rFonts w:eastAsia="Calibri"/>
        </w:rPr>
        <w:t xml:space="preserve">вориностатом, </w:t>
      </w:r>
      <w:r w:rsidR="009519AB" w:rsidRPr="00F50F81">
        <w:rPr>
          <w:rFonts w:eastAsia="Calibri"/>
        </w:rPr>
        <w:t xml:space="preserve">хлорамбуцилом, </w:t>
      </w:r>
      <w:r w:rsidR="009519AB" w:rsidRPr="007D49C0">
        <w:rPr>
          <w:rFonts w:eastAsia="Calibri"/>
        </w:rPr>
        <w:t>преднизолоном</w:t>
      </w:r>
      <w:r w:rsidR="001225F3" w:rsidRPr="007D49C0">
        <w:rPr>
          <w:rFonts w:eastAsia="Calibri"/>
        </w:rPr>
        <w:t>, доксорубицином</w:t>
      </w:r>
      <w:r w:rsidR="008C2A15" w:rsidRPr="007D49C0">
        <w:rPr>
          <w:rFonts w:eastAsia="Calibri"/>
        </w:rPr>
        <w:t>, г</w:t>
      </w:r>
      <w:r w:rsidR="008C2A15" w:rsidRPr="007D49C0">
        <w:rPr>
          <w:color w:val="000000"/>
          <w:spacing w:val="2"/>
          <w:szCs w:val="24"/>
          <w:lang w:eastAsia="zh-CN"/>
        </w:rPr>
        <w:t>емцитабином</w:t>
      </w:r>
      <w:r w:rsidR="0055709B" w:rsidRPr="007D49C0">
        <w:rPr>
          <w:color w:val="000000"/>
          <w:spacing w:val="2"/>
          <w:szCs w:val="24"/>
          <w:lang w:eastAsia="zh-CN"/>
        </w:rPr>
        <w:t xml:space="preserve">, </w:t>
      </w:r>
      <w:r w:rsidR="00423E16" w:rsidRPr="007D49C0">
        <w:rPr>
          <w:color w:val="000000"/>
          <w:spacing w:val="2"/>
          <w:szCs w:val="24"/>
          <w:lang w:eastAsia="zh-CN"/>
        </w:rPr>
        <w:t>брентуксимабом ведотином</w:t>
      </w:r>
      <w:r w:rsidR="009519AB" w:rsidRPr="007D49C0">
        <w:rPr>
          <w:color w:val="000000"/>
          <w:spacing w:val="2"/>
          <w:szCs w:val="24"/>
          <w:lang w:eastAsia="zh-CN"/>
        </w:rPr>
        <w:t xml:space="preserve"> </w:t>
      </w:r>
      <w:r w:rsidR="00460059" w:rsidRPr="007D49C0">
        <w:t xml:space="preserve">или </w:t>
      </w:r>
      <w:r w:rsidR="00064888" w:rsidRPr="007D49C0">
        <w:t>ультрафиолетового облучения кожи</w:t>
      </w:r>
      <w:r w:rsidR="008C02A7" w:rsidRPr="007D49C0">
        <w:t xml:space="preserve"> </w:t>
      </w:r>
      <w:r w:rsidR="00125031" w:rsidRPr="007D49C0">
        <w:rPr>
          <w:rStyle w:val="affb"/>
          <w:i w:val="0"/>
        </w:rPr>
        <w:t>[</w:t>
      </w:r>
      <w:r w:rsidR="007F5462" w:rsidRPr="007D49C0">
        <w:rPr>
          <w:rStyle w:val="affb"/>
          <w:i w:val="0"/>
        </w:rPr>
        <w:t>24, 2</w:t>
      </w:r>
      <w:r w:rsidR="00F844F6" w:rsidRPr="007D49C0">
        <w:rPr>
          <w:rStyle w:val="affb"/>
          <w:i w:val="0"/>
        </w:rPr>
        <w:t>5</w:t>
      </w:r>
      <w:r w:rsidR="007F5462" w:rsidRPr="007D49C0">
        <w:rPr>
          <w:rStyle w:val="affb"/>
          <w:i w:val="0"/>
        </w:rPr>
        <w:t>–31</w:t>
      </w:r>
      <w:r w:rsidR="00125031" w:rsidRPr="007D49C0">
        <w:rPr>
          <w:rStyle w:val="affb"/>
          <w:i w:val="0"/>
        </w:rPr>
        <w:t>]</w:t>
      </w:r>
      <w:r w:rsidR="00125031" w:rsidRPr="007D49C0">
        <w:rPr>
          <w:rStyle w:val="affb"/>
        </w:rPr>
        <w:t xml:space="preserve">. </w:t>
      </w:r>
    </w:p>
    <w:p w:rsidR="00F9594B" w:rsidRPr="007D49C0" w:rsidRDefault="00DE7BBA">
      <w:pPr>
        <w:pStyle w:val="afb"/>
        <w:spacing w:beforeAutospacing="0" w:afterAutospacing="0" w:line="360" w:lineRule="auto"/>
        <w:ind w:left="709" w:firstLine="0"/>
        <w:divId w:val="266810958"/>
        <w:rPr>
          <w:rFonts w:eastAsiaTheme="minorEastAsia"/>
          <w:b/>
        </w:rPr>
      </w:pPr>
      <w:r w:rsidRPr="007D49C0">
        <w:rPr>
          <w:rStyle w:val="affa"/>
        </w:rPr>
        <w:t xml:space="preserve">Уровень убедительности рекомендаций </w:t>
      </w:r>
      <w:r w:rsidRPr="007D49C0">
        <w:rPr>
          <w:rStyle w:val="affa"/>
        </w:rPr>
        <w:softHyphen/>
        <w:t xml:space="preserve">С </w:t>
      </w:r>
      <w:r w:rsidR="00297C27" w:rsidRPr="007D49C0">
        <w:rPr>
          <w:b/>
        </w:rPr>
        <w:t>(уровень достоверности доказательств – 5)</w:t>
      </w:r>
    </w:p>
    <w:p w:rsidR="009519AB" w:rsidRPr="007D49C0" w:rsidRDefault="00125031" w:rsidP="00125031">
      <w:pPr>
        <w:pStyle w:val="aff2"/>
        <w:divId w:val="266810958"/>
        <w:rPr>
          <w:i/>
        </w:rPr>
      </w:pPr>
      <w:r w:rsidRPr="007D49C0">
        <w:rPr>
          <w:rStyle w:val="affa"/>
        </w:rPr>
        <w:t xml:space="preserve">Комментарии: </w:t>
      </w:r>
      <w:r w:rsidR="00460059" w:rsidRPr="007D49C0">
        <w:rPr>
          <w:i/>
        </w:rPr>
        <w:t>Лекарственные препараты, используемые для системной терапии синдрома Сезари, обладают нежелательными эффектами, выявление которых требует проведения обще</w:t>
      </w:r>
      <w:r w:rsidR="007F5462" w:rsidRPr="007D49C0">
        <w:rPr>
          <w:i/>
        </w:rPr>
        <w:t>го (клинического) анализа крови.</w:t>
      </w:r>
    </w:p>
    <w:p w:rsidR="009519AB" w:rsidRPr="007D49C0" w:rsidRDefault="00EB7FD8" w:rsidP="00125031">
      <w:pPr>
        <w:pStyle w:val="aff2"/>
        <w:divId w:val="266810958"/>
        <w:rPr>
          <w:i/>
        </w:rPr>
      </w:pPr>
      <w:r w:rsidRPr="007D49C0">
        <w:rPr>
          <w:i/>
        </w:rPr>
        <w:t>Метотрексат</w:t>
      </w:r>
      <w:r w:rsidR="00495193" w:rsidRPr="007D49C0">
        <w:rPr>
          <w:i/>
        </w:rPr>
        <w:t>**</w:t>
      </w:r>
      <w:r w:rsidRPr="007D49C0">
        <w:rPr>
          <w:i/>
        </w:rPr>
        <w:t xml:space="preserve"> даже при применении в обычных терапевтических дозах может вызвать угнетение системы кроветворения (лейкопения, тромбоцитопения, анемия). Перед началом лечения метотрексатом</w:t>
      </w:r>
      <w:r w:rsidR="00495193" w:rsidRPr="007D49C0">
        <w:rPr>
          <w:i/>
        </w:rPr>
        <w:t>**</w:t>
      </w:r>
      <w:r w:rsidRPr="007D49C0">
        <w:rPr>
          <w:i/>
        </w:rPr>
        <w:t xml:space="preserve">, во время терапии или при </w:t>
      </w:r>
      <w:r w:rsidRPr="007D49C0">
        <w:rPr>
          <w:i/>
        </w:rPr>
        <w:lastRenderedPageBreak/>
        <w:t xml:space="preserve">возобновлении терапии после перерыва необходимо проводить </w:t>
      </w:r>
      <w:r w:rsidR="00552E8B" w:rsidRPr="007D49C0">
        <w:rPr>
          <w:i/>
        </w:rPr>
        <w:t xml:space="preserve">общий (клинический) </w:t>
      </w:r>
      <w:r w:rsidRPr="007D49C0">
        <w:rPr>
          <w:i/>
        </w:rPr>
        <w:t>анализ крови с подсчетом лейкоцитарной формулы и количества тромбоцитов. В процессе лечения метотрексатом</w:t>
      </w:r>
      <w:r w:rsidR="00552E8B" w:rsidRPr="007D49C0">
        <w:rPr>
          <w:i/>
        </w:rPr>
        <w:t>**</w:t>
      </w:r>
      <w:r w:rsidRPr="007D49C0">
        <w:rPr>
          <w:i/>
        </w:rPr>
        <w:t xml:space="preserve"> анализ </w:t>
      </w:r>
      <w:r w:rsidR="00797BDB" w:rsidRPr="007D49C0">
        <w:rPr>
          <w:i/>
        </w:rPr>
        <w:t xml:space="preserve">крови </w:t>
      </w:r>
      <w:r w:rsidRPr="007D49C0">
        <w:rPr>
          <w:i/>
        </w:rPr>
        <w:t xml:space="preserve">проводят ежемесячно в первые 6 месяцев и не реже, чем каждые 3 месяца в дальнейшем, при повышении доз целесообразно повышать частоту обследований. В случае значительного снижения количества лейкоцитов или тромбоцитов лечение метотрексатом немедленно прекращают и назначают симптоматическую поддерживающую терапию. </w:t>
      </w:r>
    </w:p>
    <w:p w:rsidR="009519AB" w:rsidRPr="007D49C0" w:rsidRDefault="00472D64" w:rsidP="00125031">
      <w:pPr>
        <w:pStyle w:val="aff2"/>
        <w:divId w:val="266810958"/>
        <w:rPr>
          <w:i/>
        </w:rPr>
      </w:pPr>
      <w:r w:rsidRPr="007D49C0">
        <w:rPr>
          <w:i/>
        </w:rPr>
        <w:t xml:space="preserve">При </w:t>
      </w:r>
      <w:r w:rsidR="00DE7BBA" w:rsidRPr="007D49C0">
        <w:rPr>
          <w:i/>
        </w:rPr>
        <w:t>применении интерферон</w:t>
      </w:r>
      <w:r w:rsidR="00552E8B" w:rsidRPr="007D49C0">
        <w:rPr>
          <w:i/>
        </w:rPr>
        <w:t xml:space="preserve">ов </w:t>
      </w:r>
      <w:r w:rsidR="00DE7BBA" w:rsidRPr="007D49C0">
        <w:rPr>
          <w:i/>
        </w:rPr>
        <w:t>возможны</w:t>
      </w:r>
      <w:r w:rsidRPr="007D49C0">
        <w:rPr>
          <w:i/>
        </w:rPr>
        <w:t xml:space="preserve"> </w:t>
      </w:r>
      <w:r w:rsidR="00797BDB" w:rsidRPr="007D49C0">
        <w:rPr>
          <w:i/>
        </w:rPr>
        <w:t>изменения</w:t>
      </w:r>
      <w:r w:rsidRPr="007D49C0">
        <w:rPr>
          <w:i/>
        </w:rPr>
        <w:t xml:space="preserve"> лабораторных показателей, проявляющиеся лейкопенией, лимфопенией, тромбоцитопенией, анемией. Для своевременного выявления отклонений от нормы лабораторных показателей, которые могут возникнуть в ходе терапии, общий клинический анализ крови необходимо повторять каждые 2 недели. При снижении числа тромбоцитов до значения менее 50х10</w:t>
      </w:r>
      <w:r w:rsidRPr="007D49C0">
        <w:rPr>
          <w:i/>
          <w:vertAlign w:val="superscript"/>
        </w:rPr>
        <w:t>9</w:t>
      </w:r>
      <w:r w:rsidRPr="007D49C0">
        <w:rPr>
          <w:i/>
        </w:rPr>
        <w:t>/л, абсолютного числа нейтрофилов менее 0,50х10</w:t>
      </w:r>
      <w:r w:rsidRPr="007D49C0">
        <w:rPr>
          <w:i/>
          <w:vertAlign w:val="superscript"/>
        </w:rPr>
        <w:t>9</w:t>
      </w:r>
      <w:r w:rsidRPr="007D49C0">
        <w:rPr>
          <w:i/>
        </w:rPr>
        <w:t xml:space="preserve">/л, лечение интерфероном рекомендуется прекратить. </w:t>
      </w:r>
    </w:p>
    <w:p w:rsidR="009519AB" w:rsidRPr="007D49C0" w:rsidRDefault="003865DD" w:rsidP="00125031">
      <w:pPr>
        <w:pStyle w:val="aff2"/>
        <w:divId w:val="266810958"/>
        <w:rPr>
          <w:i/>
        </w:rPr>
      </w:pPr>
      <w:r w:rsidRPr="007D49C0">
        <w:rPr>
          <w:i/>
        </w:rPr>
        <w:t>Пациентам, получающим терапию препаратом</w:t>
      </w:r>
      <w:r w:rsidR="00222CBB" w:rsidRPr="007D49C0">
        <w:rPr>
          <w:i/>
        </w:rPr>
        <w:t xml:space="preserve"> </w:t>
      </w:r>
      <w:proofErr w:type="spellStart"/>
      <w:r w:rsidR="00222CBB" w:rsidRPr="007D49C0">
        <w:rPr>
          <w:i/>
        </w:rPr>
        <w:t>вориностат</w:t>
      </w:r>
      <w:proofErr w:type="spellEnd"/>
      <w:r w:rsidR="00921FEF" w:rsidRPr="007D49C0">
        <w:rPr>
          <w:i/>
        </w:rPr>
        <w:tab/>
      </w:r>
      <w:r w:rsidRPr="007D49C0">
        <w:rPr>
          <w:i/>
        </w:rPr>
        <w:t xml:space="preserve">, из-за возможности развития </w:t>
      </w:r>
      <w:r w:rsidR="00467D6C" w:rsidRPr="007D49C0">
        <w:rPr>
          <w:i/>
        </w:rPr>
        <w:t>лейкопении, нейтропении, тромбоцитопении и анемии, следует проводить тщательный мониторинг параметров общего (клинического) анализа крови не реже 1 раза в 2 недели в первые 2 месяца лечения, впоследствии – ежемесячно.</w:t>
      </w:r>
      <w:r w:rsidR="009519AB" w:rsidRPr="007D49C0">
        <w:rPr>
          <w:i/>
        </w:rPr>
        <w:t xml:space="preserve"> </w:t>
      </w:r>
    </w:p>
    <w:p w:rsidR="00125031" w:rsidRPr="007D49C0" w:rsidRDefault="009519AB" w:rsidP="00125031">
      <w:pPr>
        <w:pStyle w:val="aff2"/>
        <w:divId w:val="266810958"/>
        <w:rPr>
          <w:i/>
        </w:rPr>
      </w:pPr>
      <w:r w:rsidRPr="007D49C0">
        <w:rPr>
          <w:i/>
        </w:rPr>
        <w:t>Хлорамбуцил</w:t>
      </w:r>
      <w:r w:rsidR="00921FEF" w:rsidRPr="007D49C0">
        <w:rPr>
          <w:i/>
        </w:rPr>
        <w:t>**</w:t>
      </w:r>
      <w:r w:rsidRPr="007D49C0">
        <w:rPr>
          <w:i/>
        </w:rPr>
        <w:t xml:space="preserve"> может вызвать угнетение функции костного мозга, и поэтому во время лечения необходимо систематически (не менее 2–3 раз в неделю) производить общий анализ крови с подсчетом форменных элементов периферической крови. При применении в терапевтических дозах препарат угнетает выработку лимфоцитов и в меньшей степени влияет на количество нейтрофилов и тромбоцитов, а также на уровень гемоглобина. Нет необходимости прекращать прием препарата при первых признаках снижения количества нейтрофилов, однако следует помнить, что снижение количества нейтрофилов может продолжаться в течение 10 и более дней после приема последней дозы.</w:t>
      </w:r>
    </w:p>
    <w:p w:rsidR="009519AB" w:rsidRPr="007D49C0" w:rsidRDefault="009519AB" w:rsidP="00125031">
      <w:pPr>
        <w:pStyle w:val="aff2"/>
        <w:divId w:val="266810958"/>
        <w:rPr>
          <w:i/>
        </w:rPr>
      </w:pPr>
      <w:r w:rsidRPr="007D49C0">
        <w:rPr>
          <w:i/>
        </w:rPr>
        <w:t>Необходимо контролировать общий анализ крови до начала и во время проведения терапии преднизолоном.</w:t>
      </w:r>
    </w:p>
    <w:p w:rsidR="001225F3" w:rsidRPr="007D49C0" w:rsidRDefault="001225F3" w:rsidP="00125031">
      <w:pPr>
        <w:pStyle w:val="aff2"/>
        <w:divId w:val="266810958"/>
        <w:rPr>
          <w:i/>
        </w:rPr>
      </w:pPr>
      <w:r w:rsidRPr="007D49C0">
        <w:rPr>
          <w:i/>
        </w:rPr>
        <w:t>В процессе лечения доксорубицином</w:t>
      </w:r>
      <w:r w:rsidR="00921FEF" w:rsidRPr="007D49C0">
        <w:rPr>
          <w:i/>
        </w:rPr>
        <w:t>**</w:t>
      </w:r>
      <w:r w:rsidRPr="007D49C0">
        <w:rPr>
          <w:i/>
        </w:rPr>
        <w:t xml:space="preserve"> необходимо проводить оценку гематологических показателей до и во время каждого цикла терапии, включая </w:t>
      </w:r>
      <w:r w:rsidRPr="007D49C0">
        <w:rPr>
          <w:i/>
        </w:rPr>
        <w:lastRenderedPageBreak/>
        <w:t>определение количества лейкоцитов, тромбоцитов, гемоглобина, форменных элементов крови.</w:t>
      </w:r>
    </w:p>
    <w:p w:rsidR="008C2A15" w:rsidRDefault="008C2A15" w:rsidP="00125031">
      <w:pPr>
        <w:pStyle w:val="aff2"/>
        <w:divId w:val="266810958"/>
        <w:rPr>
          <w:i/>
        </w:rPr>
      </w:pPr>
      <w:r w:rsidRPr="007D49C0">
        <w:rPr>
          <w:i/>
        </w:rPr>
        <w:t>Перед каждым введением препарата гемцитабин необходимо контролировать клинический анализ крови с количественным подсчетом форменных элементов крови (тромбоцитов, лейкоцитов, нейтрофилов). При угнетении функции костного мозга необходимо приостановить лечение или скорректировать дозу</w:t>
      </w:r>
      <w:r w:rsidRPr="008C2A15">
        <w:rPr>
          <w:i/>
        </w:rPr>
        <w:t xml:space="preserve"> препарата.</w:t>
      </w:r>
    </w:p>
    <w:p w:rsidR="00423E16" w:rsidRPr="008F7871" w:rsidRDefault="00423E16" w:rsidP="00125031">
      <w:pPr>
        <w:pStyle w:val="aff2"/>
        <w:divId w:val="266810958"/>
        <w:rPr>
          <w:i/>
        </w:rPr>
      </w:pPr>
      <w:r>
        <w:rPr>
          <w:i/>
        </w:rPr>
        <w:t>Поскольку п</w:t>
      </w:r>
      <w:r w:rsidRPr="00423E16">
        <w:rPr>
          <w:i/>
        </w:rPr>
        <w:t>ри лечении брентуксимабом ведотином</w:t>
      </w:r>
      <w:r w:rsidR="00921FEF">
        <w:rPr>
          <w:i/>
        </w:rPr>
        <w:t>**</w:t>
      </w:r>
      <w:r w:rsidRPr="00423E16">
        <w:rPr>
          <w:i/>
        </w:rPr>
        <w:t xml:space="preserve"> мо</w:t>
      </w:r>
      <w:r>
        <w:rPr>
          <w:i/>
        </w:rPr>
        <w:t>гу</w:t>
      </w:r>
      <w:r w:rsidRPr="00423E16">
        <w:rPr>
          <w:i/>
        </w:rPr>
        <w:t xml:space="preserve">т развиться анемия, тромбоцитопения и тяжелая нейтропения, перед каждым введением препарата должен проводиться </w:t>
      </w:r>
      <w:r>
        <w:rPr>
          <w:i/>
        </w:rPr>
        <w:t>к</w:t>
      </w:r>
      <w:r w:rsidRPr="00423E16">
        <w:rPr>
          <w:i/>
        </w:rPr>
        <w:t xml:space="preserve">линический анализ крови. Если в процессе лечения обнаруживается нейтропения, для ее контроля следует увеличить интервалы между дозами. В случае развития нейтропении 3 или 4 степени необходимо </w:t>
      </w:r>
      <w:r w:rsidR="00D0127D">
        <w:rPr>
          <w:i/>
        </w:rPr>
        <w:t>уменьшить</w:t>
      </w:r>
      <w:r w:rsidRPr="00423E16">
        <w:rPr>
          <w:i/>
        </w:rPr>
        <w:t xml:space="preserve"> дозу препарата вплоть до прекращения лечения.</w:t>
      </w:r>
    </w:p>
    <w:p w:rsidR="00460059" w:rsidRPr="007D49C0" w:rsidRDefault="00DE7BBA" w:rsidP="00F50F81">
      <w:pPr>
        <w:pStyle w:val="afff7"/>
        <w:divId w:val="266810958"/>
        <w:rPr>
          <w:b/>
        </w:rPr>
      </w:pPr>
      <w:r w:rsidRPr="00DE7BBA">
        <w:t xml:space="preserve">Рекомендуется анализ крови биохимический общетерапевтический для диагностики заболеваний и состояний, </w:t>
      </w:r>
      <w:r w:rsidR="00460059" w:rsidRPr="00F50F81">
        <w:t xml:space="preserve">являющихся противопоказаниями к </w:t>
      </w:r>
      <w:r w:rsidR="00460059" w:rsidRPr="007D49C0">
        <w:t xml:space="preserve">проведению системной терапии синдрома Сезари </w:t>
      </w:r>
      <w:r w:rsidR="008F478F" w:rsidRPr="007D49C0">
        <w:t>вориностатом</w:t>
      </w:r>
      <w:r w:rsidR="00460059" w:rsidRPr="007D49C0">
        <w:t xml:space="preserve"> и для контроля безопасности проводимой системной терапии </w:t>
      </w:r>
      <w:r w:rsidR="00EB7FD8" w:rsidRPr="007D49C0">
        <w:t>метотрексатом</w:t>
      </w:r>
      <w:r w:rsidR="00921FEF" w:rsidRPr="007D49C0">
        <w:t>**</w:t>
      </w:r>
      <w:r w:rsidR="00EB7FD8" w:rsidRPr="007D49C0">
        <w:rPr>
          <w:color w:val="000000"/>
          <w:spacing w:val="2"/>
          <w:szCs w:val="24"/>
          <w:lang w:eastAsia="zh-CN"/>
        </w:rPr>
        <w:t xml:space="preserve">, </w:t>
      </w:r>
      <w:r w:rsidR="00921FEF" w:rsidRPr="007D49C0">
        <w:rPr>
          <w:color w:val="000000"/>
          <w:spacing w:val="2"/>
          <w:szCs w:val="24"/>
          <w:lang w:eastAsia="zh-CN"/>
        </w:rPr>
        <w:t>интерферонами</w:t>
      </w:r>
      <w:r w:rsidR="00472D64" w:rsidRPr="007D49C0">
        <w:rPr>
          <w:color w:val="000000"/>
          <w:spacing w:val="2"/>
          <w:szCs w:val="24"/>
          <w:lang w:eastAsia="zh-CN"/>
        </w:rPr>
        <w:t xml:space="preserve">, </w:t>
      </w:r>
      <w:r w:rsidR="003865DD" w:rsidRPr="007D49C0">
        <w:rPr>
          <w:color w:val="000000"/>
          <w:spacing w:val="2"/>
          <w:szCs w:val="24"/>
          <w:lang w:eastAsia="zh-CN"/>
        </w:rPr>
        <w:t>вориностатом</w:t>
      </w:r>
      <w:r w:rsidR="009519AB" w:rsidRPr="007D49C0">
        <w:rPr>
          <w:color w:val="000000"/>
          <w:spacing w:val="2"/>
          <w:szCs w:val="24"/>
          <w:lang w:eastAsia="zh-CN"/>
        </w:rPr>
        <w:t>, преднизолоном</w:t>
      </w:r>
      <w:r w:rsidR="001225F3" w:rsidRPr="007D49C0">
        <w:rPr>
          <w:color w:val="000000"/>
          <w:spacing w:val="2"/>
          <w:szCs w:val="24"/>
          <w:lang w:eastAsia="zh-CN"/>
        </w:rPr>
        <w:t>, доксорубицином</w:t>
      </w:r>
      <w:r w:rsidR="008C2A15" w:rsidRPr="007D49C0">
        <w:rPr>
          <w:color w:val="000000"/>
          <w:spacing w:val="2"/>
          <w:szCs w:val="24"/>
          <w:lang w:eastAsia="zh-CN"/>
        </w:rPr>
        <w:t>, гемцитабином</w:t>
      </w:r>
      <w:r w:rsidR="0055709B" w:rsidRPr="007D49C0">
        <w:rPr>
          <w:color w:val="000000"/>
          <w:spacing w:val="2"/>
          <w:szCs w:val="24"/>
          <w:lang w:eastAsia="zh-CN"/>
        </w:rPr>
        <w:t xml:space="preserve">, </w:t>
      </w:r>
      <w:r w:rsidR="00423E16" w:rsidRPr="007D49C0">
        <w:rPr>
          <w:color w:val="000000"/>
          <w:spacing w:val="2"/>
          <w:szCs w:val="24"/>
          <w:lang w:eastAsia="zh-CN"/>
        </w:rPr>
        <w:t>брентуксимабом ведотином</w:t>
      </w:r>
      <w:r w:rsidR="003865DD" w:rsidRPr="007D49C0">
        <w:rPr>
          <w:color w:val="000000"/>
          <w:spacing w:val="2"/>
          <w:szCs w:val="24"/>
          <w:lang w:eastAsia="zh-CN"/>
        </w:rPr>
        <w:t xml:space="preserve"> </w:t>
      </w:r>
      <w:r w:rsidR="00460059" w:rsidRPr="007D49C0">
        <w:t>или фототерапии [</w:t>
      </w:r>
      <w:r w:rsidR="007F5462" w:rsidRPr="007D49C0">
        <w:t>24, 2</w:t>
      </w:r>
      <w:r w:rsidR="00F844F6" w:rsidRPr="007D49C0">
        <w:t>5</w:t>
      </w:r>
      <w:r w:rsidR="007F5462" w:rsidRPr="007D49C0">
        <w:t>–30</w:t>
      </w:r>
      <w:r w:rsidR="00460059" w:rsidRPr="007D49C0">
        <w:t>].</w:t>
      </w:r>
    </w:p>
    <w:p w:rsidR="00460059" w:rsidRPr="007D49C0" w:rsidRDefault="00297C27" w:rsidP="00460059">
      <w:pPr>
        <w:pStyle w:val="1"/>
        <w:numPr>
          <w:ilvl w:val="0"/>
          <w:numId w:val="0"/>
        </w:numPr>
        <w:spacing w:before="0"/>
        <w:ind w:left="709"/>
        <w:divId w:val="266810958"/>
        <w:rPr>
          <w:b/>
        </w:rPr>
      </w:pPr>
      <w:r w:rsidRPr="007D49C0">
        <w:rPr>
          <w:b/>
        </w:rPr>
        <w:t>Уровень убедительности рекомендаций С (уровень достоверности доказательств – 5)</w:t>
      </w:r>
    </w:p>
    <w:p w:rsidR="001225F3" w:rsidRPr="007D49C0" w:rsidRDefault="00460059" w:rsidP="00460059">
      <w:pPr>
        <w:pStyle w:val="1"/>
        <w:numPr>
          <w:ilvl w:val="0"/>
          <w:numId w:val="0"/>
        </w:numPr>
        <w:spacing w:before="0"/>
        <w:ind w:left="709"/>
        <w:divId w:val="266810958"/>
        <w:rPr>
          <w:i/>
        </w:rPr>
      </w:pPr>
      <w:r w:rsidRPr="007D49C0">
        <w:rPr>
          <w:b/>
        </w:rPr>
        <w:t xml:space="preserve">Комментарии: </w:t>
      </w:r>
      <w:r w:rsidRPr="007D49C0">
        <w:rPr>
          <w:i/>
        </w:rPr>
        <w:t>Лекарственные препараты, используемые для системной терапии синдрома Сезари, обладают нежелательными эффектами, выявление которых требует проведения анализа крови биохимического общетерапевтического.</w:t>
      </w:r>
      <w:r w:rsidR="00EB7FD8" w:rsidRPr="007D49C0">
        <w:rPr>
          <w:i/>
        </w:rPr>
        <w:t xml:space="preserve"> Перед началом лечения метотрексатом или при возобновлении терапии после перерыва необходимо оценивать активность «печеночных» ферментов</w:t>
      </w:r>
      <w:r w:rsidR="00D0127D" w:rsidRPr="007D49C0">
        <w:rPr>
          <w:i/>
        </w:rPr>
        <w:t xml:space="preserve"> аланинаминотрансферазы и аспартатаминотрансферазы</w:t>
      </w:r>
      <w:r w:rsidR="00EB7FD8" w:rsidRPr="007D49C0">
        <w:rPr>
          <w:i/>
        </w:rPr>
        <w:t>, концентрацию билирубина, альбумина сыворотки.</w:t>
      </w:r>
      <w:r w:rsidR="003865DD" w:rsidRPr="007D49C0">
        <w:rPr>
          <w:i/>
        </w:rPr>
        <w:t xml:space="preserve"> </w:t>
      </w:r>
      <w:r w:rsidR="005621A1" w:rsidRPr="007D49C0">
        <w:rPr>
          <w:i/>
        </w:rPr>
        <w:t xml:space="preserve">В процессе лечения метотрексатом анализ биохимический общетерапевтический необходимо повторять (ежемесячно в первые 6 месяцев и не реже, чем каждые 3 месяца в дальнейшем, при повышении доз целесообразно повышать частоту обследований). Лечение метотрексатом не следует начинать или необходимо приостанавливать </w:t>
      </w:r>
      <w:r w:rsidR="00D0127D" w:rsidRPr="007D49C0">
        <w:rPr>
          <w:i/>
        </w:rPr>
        <w:t>в случае наличия или развития любых отклонений от нормальных показателей функциональных печеночных тестов</w:t>
      </w:r>
      <w:r w:rsidR="005621A1" w:rsidRPr="007D49C0">
        <w:rPr>
          <w:i/>
        </w:rPr>
        <w:t xml:space="preserve">. Обычно показатели нормализуются в течение 2 недель, после </w:t>
      </w:r>
      <w:r w:rsidR="005621A1" w:rsidRPr="007D49C0">
        <w:rPr>
          <w:i/>
        </w:rPr>
        <w:lastRenderedPageBreak/>
        <w:t xml:space="preserve">чего лечение может быть возобновлено. </w:t>
      </w:r>
      <w:r w:rsidR="006523C6" w:rsidRPr="007D49C0">
        <w:rPr>
          <w:i/>
        </w:rPr>
        <w:t xml:space="preserve">При применении интерферона возможны отклонения от нормы лабораторных показателей, проявляющиеся повышением активности аланинаминотрансферазы, щелочной фосфатазы, концентрации креатинина. </w:t>
      </w:r>
      <w:r w:rsidR="00472D64" w:rsidRPr="007D49C0">
        <w:rPr>
          <w:i/>
        </w:rPr>
        <w:t xml:space="preserve">Для своевременного выявления отклонений от нормы лабораторных показателей, которые могут возникнуть в ходе терапии интерфероном, биохимический анализ крови необходимо повторять каждые 4 недели. В случае появления признаков нарушения функции печени за больным необходимо установить тщательное наблюдение. При прогрессировании </w:t>
      </w:r>
      <w:r w:rsidR="00D0127D" w:rsidRPr="007D49C0">
        <w:rPr>
          <w:i/>
        </w:rPr>
        <w:t>нарушений функции печени</w:t>
      </w:r>
      <w:r w:rsidR="00472D64" w:rsidRPr="007D49C0">
        <w:rPr>
          <w:i/>
        </w:rPr>
        <w:t xml:space="preserve"> введение препарата следует прекратить. </w:t>
      </w:r>
      <w:r w:rsidR="003865DD" w:rsidRPr="007D49C0">
        <w:rPr>
          <w:i/>
        </w:rPr>
        <w:t xml:space="preserve">Пациентам, получающим терапию препаратом вориностат, из-за возможности </w:t>
      </w:r>
      <w:r w:rsidR="003865DD" w:rsidRPr="007D49C0">
        <w:rPr>
          <w:i/>
          <w:szCs w:val="24"/>
        </w:rPr>
        <w:t xml:space="preserve">увеличения плазменной концентрации </w:t>
      </w:r>
      <w:proofErr w:type="spellStart"/>
      <w:r w:rsidR="003865DD" w:rsidRPr="007D49C0">
        <w:rPr>
          <w:i/>
          <w:szCs w:val="24"/>
        </w:rPr>
        <w:t>креатинина</w:t>
      </w:r>
      <w:proofErr w:type="spellEnd"/>
      <w:r w:rsidR="00222CBB" w:rsidRPr="007D49C0">
        <w:rPr>
          <w:szCs w:val="24"/>
        </w:rPr>
        <w:t>/</w:t>
      </w:r>
      <w:r w:rsidR="003865DD" w:rsidRPr="007D49C0">
        <w:rPr>
          <w:szCs w:val="24"/>
        </w:rPr>
        <w:t xml:space="preserve"> </w:t>
      </w:r>
      <w:r w:rsidR="003865DD" w:rsidRPr="007D49C0">
        <w:rPr>
          <w:i/>
        </w:rPr>
        <w:t>развития</w:t>
      </w:r>
      <w:r w:rsidR="003865DD" w:rsidRPr="007D49C0">
        <w:rPr>
          <w:szCs w:val="24"/>
        </w:rPr>
        <w:t xml:space="preserve"> </w:t>
      </w:r>
      <w:proofErr w:type="spellStart"/>
      <w:r w:rsidR="003865DD" w:rsidRPr="007D49C0">
        <w:rPr>
          <w:i/>
          <w:szCs w:val="24"/>
        </w:rPr>
        <w:t>гипокалиеми</w:t>
      </w:r>
      <w:r w:rsidR="00043923" w:rsidRPr="007D49C0">
        <w:rPr>
          <w:i/>
          <w:szCs w:val="24"/>
        </w:rPr>
        <w:t>и</w:t>
      </w:r>
      <w:proofErr w:type="spellEnd"/>
      <w:r w:rsidR="003865DD" w:rsidRPr="007D49C0">
        <w:rPr>
          <w:i/>
        </w:rPr>
        <w:t xml:space="preserve">, </w:t>
      </w:r>
      <w:r w:rsidR="008F478F" w:rsidRPr="007D49C0">
        <w:rPr>
          <w:i/>
        </w:rPr>
        <w:t xml:space="preserve">повышения уровня глюкозы в крови </w:t>
      </w:r>
      <w:r w:rsidR="003865DD" w:rsidRPr="007D49C0">
        <w:rPr>
          <w:i/>
        </w:rPr>
        <w:t>с</w:t>
      </w:r>
      <w:r w:rsidR="003865DD" w:rsidRPr="007D49C0">
        <w:rPr>
          <w:i/>
          <w:szCs w:val="24"/>
        </w:rPr>
        <w:t>ледует проводить тщательный мониторинг параметров биохимического анализа крови, включая концентрации электролитов плазмы, глюкозы и креатинина не реже 1 раза в 2 недели в первые 2 месяца лечения, впоследствии – ежемесячно.</w:t>
      </w:r>
      <w:r w:rsidR="006F20EA" w:rsidRPr="007D49C0">
        <w:rPr>
          <w:szCs w:val="24"/>
        </w:rPr>
        <w:t xml:space="preserve"> </w:t>
      </w:r>
      <w:r w:rsidR="006F20EA" w:rsidRPr="007D49C0">
        <w:rPr>
          <w:i/>
          <w:szCs w:val="24"/>
        </w:rPr>
        <w:t>Мониторинг плазменного уровня глюкозы в особенности необходим для пациентов с уже имеющимся диабетом или риском развития диабета.</w:t>
      </w:r>
      <w:r w:rsidR="009519AB" w:rsidRPr="007D49C0">
        <w:rPr>
          <w:i/>
          <w:szCs w:val="24"/>
        </w:rPr>
        <w:t xml:space="preserve"> Необходимо контролировать гликемию и содержание электролитов в плазме до начала и во время проведения терапии преднизолоном.</w:t>
      </w:r>
      <w:r w:rsidR="001225F3" w:rsidRPr="007D49C0">
        <w:rPr>
          <w:i/>
          <w:szCs w:val="24"/>
        </w:rPr>
        <w:t xml:space="preserve"> </w:t>
      </w:r>
      <w:r w:rsidR="001225F3" w:rsidRPr="007D49C0">
        <w:rPr>
          <w:i/>
        </w:rPr>
        <w:t>В процессе лечения доксорубицином необходимо проводить оценку печеночных функциональных тестов. При применении доксорубицина вследствие быстрого лизиса опухолевых клеток может наблюдаться гиперурикемия, в связи с чем пациентам во время терапии рекомендуется определять концентрацию мочевой кислоты, калия, кальция</w:t>
      </w:r>
      <w:r w:rsidR="00F46933" w:rsidRPr="007D49C0">
        <w:rPr>
          <w:i/>
        </w:rPr>
        <w:t>,</w:t>
      </w:r>
      <w:r w:rsidR="001225F3" w:rsidRPr="007D49C0">
        <w:rPr>
          <w:i/>
        </w:rPr>
        <w:t xml:space="preserve"> </w:t>
      </w:r>
      <w:r w:rsidR="00222CBB" w:rsidRPr="007D49C0">
        <w:rPr>
          <w:i/>
          <w:strike/>
        </w:rPr>
        <w:t>и</w:t>
      </w:r>
      <w:r w:rsidR="001225F3" w:rsidRPr="007D49C0">
        <w:rPr>
          <w:i/>
        </w:rPr>
        <w:t xml:space="preserve"> </w:t>
      </w:r>
      <w:r w:rsidR="00D0127D" w:rsidRPr="007D49C0">
        <w:rPr>
          <w:i/>
        </w:rPr>
        <w:t>креатинина и профилактическое использование аллопуринола</w:t>
      </w:r>
      <w:r w:rsidR="001225F3" w:rsidRPr="007D49C0">
        <w:rPr>
          <w:i/>
        </w:rPr>
        <w:t>.</w:t>
      </w:r>
      <w:r w:rsidR="008C2A15" w:rsidRPr="007D49C0">
        <w:rPr>
          <w:i/>
        </w:rPr>
        <w:t xml:space="preserve"> У пациентов, получающих терапию гемцитабином, периодически необходимо проводить оценку функции печени.</w:t>
      </w:r>
      <w:r w:rsidR="0055709B" w:rsidRPr="007D49C0">
        <w:rPr>
          <w:i/>
        </w:rPr>
        <w:t xml:space="preserve"> </w:t>
      </w:r>
      <w:r w:rsidR="00423E16" w:rsidRPr="007D49C0">
        <w:rPr>
          <w:i/>
        </w:rPr>
        <w:t>У пациентов, проходящих лечение брентуксимабом ведотином, необходимо регулярно контролировать функции печени.</w:t>
      </w:r>
      <w:r w:rsidR="00423E16" w:rsidRPr="007D49C0">
        <w:rPr>
          <w:rFonts w:eastAsia="SimSun"/>
          <w:color w:val="00000A"/>
          <w:kern w:val="1"/>
          <w:szCs w:val="24"/>
        </w:rPr>
        <w:t xml:space="preserve"> </w:t>
      </w:r>
      <w:r w:rsidR="00423E16" w:rsidRPr="007D49C0">
        <w:rPr>
          <w:i/>
        </w:rPr>
        <w:t>Вне зависимости от анамнеза, уровень сывороточной глюкозы должен контролироваться у всех получающих брентуксимаб ведотин пациентов с зарегистрированным случаем гипергликемии.</w:t>
      </w:r>
    </w:p>
    <w:p w:rsidR="00460059" w:rsidRPr="007D49C0" w:rsidRDefault="00DE7BBA" w:rsidP="00F50F81">
      <w:pPr>
        <w:pStyle w:val="afff7"/>
        <w:divId w:val="266810958"/>
      </w:pPr>
      <w:r w:rsidRPr="007D49C0">
        <w:t xml:space="preserve">Рекомендуется общий (клинический) анализ мочи для диагностики заболеваний и состояний, являющихся противопоказаниями к проведению системной терапии синдрома Сезари и для контроля безопасности проводимой системной терапии </w:t>
      </w:r>
      <w:r w:rsidR="000A7A33" w:rsidRPr="007D49C0">
        <w:t>метотрексатом</w:t>
      </w:r>
      <w:r w:rsidR="00921FEF" w:rsidRPr="007D49C0">
        <w:t>**</w:t>
      </w:r>
      <w:r w:rsidR="000A7A33" w:rsidRPr="007D49C0">
        <w:t xml:space="preserve">, </w:t>
      </w:r>
      <w:r w:rsidR="008F478F" w:rsidRPr="007D49C0">
        <w:t>вориностатом</w:t>
      </w:r>
      <w:r w:rsidR="00287095" w:rsidRPr="007D49C0">
        <w:t>, преднизолоном</w:t>
      </w:r>
      <w:r w:rsidR="00921FEF" w:rsidRPr="007D49C0">
        <w:t>**</w:t>
      </w:r>
      <w:r w:rsidR="008C2A15" w:rsidRPr="007D49C0">
        <w:t>, гемцитабином</w:t>
      </w:r>
      <w:r w:rsidR="00921FEF" w:rsidRPr="007D49C0">
        <w:t>**</w:t>
      </w:r>
      <w:r w:rsidR="008F478F" w:rsidRPr="007D49C0">
        <w:t xml:space="preserve"> </w:t>
      </w:r>
      <w:r w:rsidR="00460059" w:rsidRPr="007D49C0">
        <w:t>или фототерапии [</w:t>
      </w:r>
      <w:r w:rsidR="007F5462" w:rsidRPr="007D49C0">
        <w:t xml:space="preserve">24, </w:t>
      </w:r>
      <w:r w:rsidR="00F844F6" w:rsidRPr="007D49C0">
        <w:t xml:space="preserve">25, </w:t>
      </w:r>
      <w:r w:rsidR="007F5462" w:rsidRPr="007D49C0">
        <w:t>28</w:t>
      </w:r>
      <w:r w:rsidR="000B7FCB" w:rsidRPr="007D49C0">
        <w:t>]</w:t>
      </w:r>
      <w:r w:rsidR="00460059" w:rsidRPr="007D49C0">
        <w:t>.</w:t>
      </w:r>
    </w:p>
    <w:p w:rsidR="00460059" w:rsidRPr="007D49C0" w:rsidRDefault="00DE7BBA" w:rsidP="00460059">
      <w:pPr>
        <w:pStyle w:val="aff1"/>
        <w:divId w:val="266810958"/>
      </w:pPr>
      <w:r w:rsidRPr="007D49C0">
        <w:lastRenderedPageBreak/>
        <w:t>Уровень убедительности рекомендаций С (уровень достоверности доказательств – 5)</w:t>
      </w:r>
    </w:p>
    <w:p w:rsidR="00460059" w:rsidRPr="00064888" w:rsidRDefault="00460059" w:rsidP="00460059">
      <w:pPr>
        <w:pStyle w:val="aff2"/>
        <w:divId w:val="266810958"/>
        <w:rPr>
          <w:i/>
        </w:rPr>
      </w:pPr>
      <w:r w:rsidRPr="007D49C0">
        <w:rPr>
          <w:b/>
        </w:rPr>
        <w:t xml:space="preserve">Комментарии: </w:t>
      </w:r>
      <w:r w:rsidRPr="007D49C0">
        <w:rPr>
          <w:i/>
        </w:rPr>
        <w:t>Лекарственные препараты, используемые для системной терапии синдрома Сезари, обладают нежелательными эффектами, выявление которых требует проведения общего (клинического) анализа мочи.</w:t>
      </w:r>
      <w:r w:rsidR="008F478F" w:rsidRPr="007D49C0">
        <w:rPr>
          <w:i/>
        </w:rPr>
        <w:t xml:space="preserve"> </w:t>
      </w:r>
      <w:r w:rsidR="000A7A33" w:rsidRPr="007D49C0">
        <w:rPr>
          <w:i/>
        </w:rPr>
        <w:t>Поражение почек и мочевыводящих путей может быть обусловлено как пр</w:t>
      </w:r>
      <w:r w:rsidR="00C66945" w:rsidRPr="007D49C0">
        <w:rPr>
          <w:i/>
        </w:rPr>
        <w:t>я</w:t>
      </w:r>
      <w:r w:rsidR="000A7A33" w:rsidRPr="007D49C0">
        <w:rPr>
          <w:i/>
        </w:rPr>
        <w:t>мым токсическим</w:t>
      </w:r>
      <w:r w:rsidR="000A7A33">
        <w:rPr>
          <w:i/>
        </w:rPr>
        <w:t xml:space="preserve"> действием препаратов, так и активацией инфекции на фоне иммуносупрессии. </w:t>
      </w:r>
      <w:r w:rsidR="00C66945">
        <w:rPr>
          <w:i/>
        </w:rPr>
        <w:t xml:space="preserve">На фоне терапии метотрексатом возможна активация хронической инфекции, в том числе с поражением мочевыделительной системы </w:t>
      </w:r>
      <w:r w:rsidR="00C66945" w:rsidRPr="00C66945">
        <w:rPr>
          <w:i/>
          <w:color w:val="000000"/>
        </w:rPr>
        <w:t>[</w:t>
      </w:r>
      <w:r w:rsidR="007F5462" w:rsidRPr="007F5462">
        <w:rPr>
          <w:i/>
        </w:rPr>
        <w:t>2</w:t>
      </w:r>
      <w:r w:rsidR="00C66945" w:rsidRPr="00C66945">
        <w:rPr>
          <w:i/>
        </w:rPr>
        <w:t>8]</w:t>
      </w:r>
      <w:r w:rsidR="00C66945">
        <w:rPr>
          <w:i/>
        </w:rPr>
        <w:t xml:space="preserve">. </w:t>
      </w:r>
      <w:r w:rsidR="00C66945" w:rsidRPr="00C66945">
        <w:rPr>
          <w:i/>
        </w:rPr>
        <w:t>Поскольку метотрексат</w:t>
      </w:r>
      <w:r w:rsidR="00921FEF">
        <w:rPr>
          <w:i/>
        </w:rPr>
        <w:t>**</w:t>
      </w:r>
      <w:r w:rsidR="00C66945" w:rsidRPr="00C66945">
        <w:rPr>
          <w:i/>
        </w:rPr>
        <w:t xml:space="preserve"> экскретируется преимущественно почками, у пациентов с нарушениями функции почек может наблюдаться повышение концентрации метотрексата в крови, следствием чего могут быть тяжелые побочные реакции. Необходимо тщательно контролировать состояние пациентов, у которых возможны нарушения функции почек (например, пожилых пациентов).</w:t>
      </w:r>
      <w:r w:rsidR="00C66945">
        <w:rPr>
          <w:i/>
        </w:rPr>
        <w:t xml:space="preserve"> </w:t>
      </w:r>
      <w:r w:rsidR="008F478F">
        <w:rPr>
          <w:i/>
        </w:rPr>
        <w:t>У пациентов, получающих терапию вориностатом, возможно развитие протеинурии и гиперурикемии.</w:t>
      </w:r>
      <w:r w:rsidR="009519AB">
        <w:rPr>
          <w:i/>
        </w:rPr>
        <w:t xml:space="preserve"> </w:t>
      </w:r>
      <w:r w:rsidR="00461412">
        <w:rPr>
          <w:i/>
        </w:rPr>
        <w:t>Н</w:t>
      </w:r>
      <w:r w:rsidR="00461412" w:rsidRPr="00461412">
        <w:rPr>
          <w:i/>
        </w:rPr>
        <w:t xml:space="preserve">еобходимо контролировать </w:t>
      </w:r>
      <w:r w:rsidR="009519AB" w:rsidRPr="00461412">
        <w:rPr>
          <w:i/>
        </w:rPr>
        <w:t>глюкозурию</w:t>
      </w:r>
      <w:r w:rsidR="00461412" w:rsidRPr="00461412">
        <w:rPr>
          <w:i/>
        </w:rPr>
        <w:t xml:space="preserve"> </w:t>
      </w:r>
      <w:r w:rsidR="00287095">
        <w:rPr>
          <w:i/>
        </w:rPr>
        <w:t xml:space="preserve">и возможность развития лейкоцитурии </w:t>
      </w:r>
      <w:r w:rsidR="00461412" w:rsidRPr="00461412">
        <w:rPr>
          <w:i/>
        </w:rPr>
        <w:t>до начала и во время проведения терапии преднизолоном.</w:t>
      </w:r>
      <w:r w:rsidR="008C2A15">
        <w:rPr>
          <w:i/>
        </w:rPr>
        <w:t xml:space="preserve"> У пациентов, получающих терапию гемцитабином</w:t>
      </w:r>
      <w:r w:rsidR="00921FEF">
        <w:rPr>
          <w:i/>
        </w:rPr>
        <w:t>**</w:t>
      </w:r>
      <w:r w:rsidR="008C2A15">
        <w:rPr>
          <w:i/>
        </w:rPr>
        <w:t>, периодически необходимо проводить оценку функции почек из-за возможности развития острой почечной недостаточности и гемолитического уремического синдрома.</w:t>
      </w:r>
    </w:p>
    <w:p w:rsidR="00E536F0" w:rsidRPr="007D49C0" w:rsidRDefault="00E536F0" w:rsidP="009119D3">
      <w:pPr>
        <w:pStyle w:val="afff7"/>
        <w:divId w:val="266810958"/>
      </w:pPr>
      <w:r w:rsidRPr="009119D3">
        <w:rPr>
          <w:rStyle w:val="affa"/>
          <w:b w:val="0"/>
          <w:bCs w:val="0"/>
        </w:rPr>
        <w:t>Рекомендуется при прогрессировании</w:t>
      </w:r>
      <w:r w:rsidR="0082399D" w:rsidRPr="009119D3">
        <w:rPr>
          <w:rStyle w:val="affa"/>
          <w:b w:val="0"/>
          <w:bCs w:val="0"/>
        </w:rPr>
        <w:t xml:space="preserve"> </w:t>
      </w:r>
      <w:r w:rsidRPr="009119D3">
        <w:rPr>
          <w:rStyle w:val="affa"/>
          <w:b w:val="0"/>
          <w:bCs w:val="0"/>
        </w:rPr>
        <w:t>патологического процесса определение маркер</w:t>
      </w:r>
      <w:r w:rsidR="00BE7F13" w:rsidRPr="009119D3">
        <w:rPr>
          <w:rStyle w:val="affa"/>
          <w:b w:val="0"/>
          <w:bCs w:val="0"/>
        </w:rPr>
        <w:t>а</w:t>
      </w:r>
      <w:r w:rsidR="0082399D" w:rsidRPr="009119D3">
        <w:rPr>
          <w:rStyle w:val="affa"/>
          <w:b w:val="0"/>
          <w:bCs w:val="0"/>
        </w:rPr>
        <w:t xml:space="preserve"> </w:t>
      </w:r>
      <w:r w:rsidRPr="009119D3">
        <w:t>агрессивного течения заболевания</w:t>
      </w:r>
      <w:r w:rsidR="009119D3" w:rsidRPr="009119D3">
        <w:t xml:space="preserve"> </w:t>
      </w:r>
      <w:r w:rsidRPr="009119D3">
        <w:t xml:space="preserve">определение активности </w:t>
      </w:r>
      <w:r w:rsidRPr="007D49C0">
        <w:t>лактатдегидрогеназы в крови</w:t>
      </w:r>
      <w:r w:rsidR="001746DC" w:rsidRPr="007D49C0">
        <w:t xml:space="preserve"> [</w:t>
      </w:r>
      <w:r w:rsidR="007F5462" w:rsidRPr="007D49C0">
        <w:t>19, 3</w:t>
      </w:r>
      <w:r w:rsidR="00877FEC" w:rsidRPr="007D49C0">
        <w:t>2</w:t>
      </w:r>
      <w:r w:rsidR="001746DC" w:rsidRPr="007D49C0">
        <w:t>]</w:t>
      </w:r>
    </w:p>
    <w:p w:rsidR="00E536F0" w:rsidRPr="007D49C0" w:rsidRDefault="00DE7BBA" w:rsidP="00E536F0">
      <w:pPr>
        <w:pStyle w:val="afb"/>
        <w:tabs>
          <w:tab w:val="num" w:pos="1134"/>
        </w:tabs>
        <w:spacing w:beforeAutospacing="0" w:afterAutospacing="0" w:line="360" w:lineRule="auto"/>
        <w:ind w:left="709" w:firstLine="0"/>
        <w:divId w:val="266810958"/>
        <w:rPr>
          <w:b/>
        </w:rPr>
      </w:pPr>
      <w:r w:rsidRPr="007D49C0">
        <w:rPr>
          <w:rStyle w:val="affa"/>
        </w:rPr>
        <w:t xml:space="preserve">Уровень убедительности рекомендаций </w:t>
      </w:r>
      <w:r w:rsidRPr="007D49C0">
        <w:rPr>
          <w:rStyle w:val="affa"/>
        </w:rPr>
        <w:softHyphen/>
        <w:t>В</w:t>
      </w:r>
      <w:r w:rsidR="0082399D" w:rsidRPr="007D49C0">
        <w:t xml:space="preserve"> </w:t>
      </w:r>
      <w:r w:rsidR="00E536F0" w:rsidRPr="007D49C0">
        <w:rPr>
          <w:b/>
        </w:rPr>
        <w:t xml:space="preserve">(уровень достоверности доказательств – </w:t>
      </w:r>
      <w:r w:rsidR="0051477A" w:rsidRPr="007D49C0">
        <w:rPr>
          <w:b/>
        </w:rPr>
        <w:t>3</w:t>
      </w:r>
      <w:r w:rsidR="00E536F0" w:rsidRPr="007D49C0">
        <w:rPr>
          <w:b/>
        </w:rPr>
        <w:t>)</w:t>
      </w:r>
    </w:p>
    <w:p w:rsidR="00E536F0" w:rsidRPr="007D49C0" w:rsidRDefault="00E536F0" w:rsidP="00E536F0">
      <w:pPr>
        <w:pStyle w:val="aff2"/>
        <w:divId w:val="266810958"/>
        <w:rPr>
          <w:i/>
        </w:rPr>
      </w:pPr>
      <w:r w:rsidRPr="007D49C0">
        <w:rPr>
          <w:b/>
        </w:rPr>
        <w:t xml:space="preserve">Комментарии: </w:t>
      </w:r>
      <w:r w:rsidRPr="007D49C0">
        <w:rPr>
          <w:i/>
        </w:rPr>
        <w:t>Повышение активности лактатдегидрогеназы в крови указывает на агрессивное течение синдрома Сезари.</w:t>
      </w:r>
    </w:p>
    <w:p w:rsidR="00B46390" w:rsidRPr="007D49C0" w:rsidRDefault="00B46390" w:rsidP="0021676E">
      <w:pPr>
        <w:pStyle w:val="2"/>
        <w:divId w:val="266810958"/>
      </w:pPr>
      <w:bookmarkStart w:id="39" w:name="_Toc36831352"/>
      <w:bookmarkStart w:id="40" w:name="_Toc34301085"/>
      <w:r w:rsidRPr="007D49C0">
        <w:t xml:space="preserve">2.4 </w:t>
      </w:r>
      <w:r w:rsidR="00A70F44" w:rsidRPr="007D49C0">
        <w:t xml:space="preserve">Инструментальные </w:t>
      </w:r>
      <w:r w:rsidRPr="007D49C0">
        <w:t>диагно</w:t>
      </w:r>
      <w:r w:rsidR="00A70F44" w:rsidRPr="007D49C0">
        <w:t>стические исследования</w:t>
      </w:r>
      <w:bookmarkEnd w:id="39"/>
      <w:bookmarkEnd w:id="40"/>
    </w:p>
    <w:p w:rsidR="00F418CE" w:rsidRPr="007D49C0" w:rsidRDefault="00F418CE" w:rsidP="00F418CE">
      <w:pPr>
        <w:pStyle w:val="afb"/>
        <w:numPr>
          <w:ilvl w:val="0"/>
          <w:numId w:val="16"/>
        </w:numPr>
        <w:spacing w:beforeAutospacing="0" w:afterAutospacing="0" w:line="360" w:lineRule="auto"/>
        <w:ind w:left="709" w:hanging="709"/>
        <w:divId w:val="266810958"/>
        <w:rPr>
          <w:rFonts w:eastAsiaTheme="minorEastAsia"/>
        </w:rPr>
      </w:pPr>
      <w:r w:rsidRPr="007D49C0">
        <w:rPr>
          <w:b/>
        </w:rPr>
        <w:t xml:space="preserve">Рекомендуется </w:t>
      </w:r>
      <w:r w:rsidR="00305B97" w:rsidRPr="007D49C0">
        <w:t>при подозрении на поражение лимфатических узлов</w:t>
      </w:r>
      <w:r w:rsidRPr="007D49C0">
        <w:t xml:space="preserve"> ультразвуковое исследование лимфатических узлов</w:t>
      </w:r>
      <w:r w:rsidR="00551ADD" w:rsidRPr="007D49C0">
        <w:t xml:space="preserve"> [</w:t>
      </w:r>
      <w:r w:rsidR="007F5462" w:rsidRPr="007D49C0">
        <w:t>33</w:t>
      </w:r>
      <w:r w:rsidR="00551ADD" w:rsidRPr="007D49C0">
        <w:t>]</w:t>
      </w:r>
    </w:p>
    <w:p w:rsidR="00F418CE" w:rsidRPr="007D49C0" w:rsidRDefault="00DE7BBA" w:rsidP="00F418CE">
      <w:pPr>
        <w:pStyle w:val="afb"/>
        <w:tabs>
          <w:tab w:val="num" w:pos="1134"/>
        </w:tabs>
        <w:spacing w:beforeAutospacing="0" w:afterAutospacing="0" w:line="360" w:lineRule="auto"/>
        <w:ind w:left="709" w:firstLine="0"/>
        <w:divId w:val="266810958"/>
        <w:rPr>
          <w:b/>
        </w:rPr>
      </w:pPr>
      <w:r w:rsidRPr="007D49C0">
        <w:rPr>
          <w:rStyle w:val="affa"/>
        </w:rPr>
        <w:t xml:space="preserve">Уровень убедительности рекомендаций </w:t>
      </w:r>
      <w:r w:rsidRPr="007D49C0">
        <w:rPr>
          <w:rStyle w:val="affa"/>
        </w:rPr>
        <w:softHyphen/>
        <w:t xml:space="preserve">С </w:t>
      </w:r>
      <w:r w:rsidRPr="007D49C0">
        <w:rPr>
          <w:b/>
        </w:rPr>
        <w:t>(уровень достоверности доказательств – 5)</w:t>
      </w:r>
    </w:p>
    <w:p w:rsidR="00F9594B" w:rsidRPr="007D49C0" w:rsidRDefault="00F418CE">
      <w:pPr>
        <w:pStyle w:val="afff7"/>
        <w:divId w:val="266810958"/>
      </w:pPr>
      <w:r w:rsidRPr="007D49C0">
        <w:lastRenderedPageBreak/>
        <w:t>Рекомендуется пациентам с подозрением на поражение</w:t>
      </w:r>
      <w:r w:rsidR="000E54DB" w:rsidRPr="007D49C0">
        <w:t xml:space="preserve"> внутренних</w:t>
      </w:r>
      <w:r w:rsidRPr="007D49C0">
        <w:t xml:space="preserve"> органов </w:t>
      </w:r>
      <w:r w:rsidR="00DE7BBA" w:rsidRPr="007D49C0">
        <w:t>компьютерная томография органов грудной полости</w:t>
      </w:r>
      <w:r w:rsidR="000E54DB" w:rsidRPr="007D49C0">
        <w:t>, органов малого таза, органов брюшной полости и забрюшинного пространств</w:t>
      </w:r>
      <w:r w:rsidR="00DE7BBA" w:rsidRPr="007D49C0">
        <w:t xml:space="preserve"> [</w:t>
      </w:r>
      <w:r w:rsidR="007F5462" w:rsidRPr="007D49C0">
        <w:t>34</w:t>
      </w:r>
      <w:r w:rsidR="001333D1" w:rsidRPr="007D49C0">
        <w:t>,</w:t>
      </w:r>
      <w:r w:rsidR="00DE7BBA" w:rsidRPr="007D49C0">
        <w:t> </w:t>
      </w:r>
      <w:r w:rsidR="001333D1" w:rsidRPr="007D49C0">
        <w:t xml:space="preserve"> </w:t>
      </w:r>
      <w:r w:rsidR="007F5462" w:rsidRPr="007D49C0">
        <w:t>35</w:t>
      </w:r>
      <w:r w:rsidR="00DE7BBA" w:rsidRPr="007D49C0">
        <w:t>]</w:t>
      </w:r>
    </w:p>
    <w:p w:rsidR="00F418CE" w:rsidRPr="007D49C0" w:rsidRDefault="00297C27" w:rsidP="00F418CE">
      <w:pPr>
        <w:pStyle w:val="afb"/>
        <w:tabs>
          <w:tab w:val="num" w:pos="1134"/>
        </w:tabs>
        <w:spacing w:beforeAutospacing="0" w:afterAutospacing="0" w:line="360" w:lineRule="auto"/>
        <w:ind w:left="709" w:firstLine="0"/>
        <w:divId w:val="266810958"/>
        <w:rPr>
          <w:b/>
        </w:rPr>
      </w:pPr>
      <w:r w:rsidRPr="007D49C0">
        <w:rPr>
          <w:rStyle w:val="affa"/>
        </w:rPr>
        <w:t xml:space="preserve">Уровень убедительности рекомендаций </w:t>
      </w:r>
      <w:r w:rsidRPr="007D49C0">
        <w:rPr>
          <w:rStyle w:val="affa"/>
        </w:rPr>
        <w:softHyphen/>
        <w:t>С</w:t>
      </w:r>
      <w:r w:rsidR="00DE7BBA" w:rsidRPr="007D49C0">
        <w:rPr>
          <w:rStyle w:val="affa"/>
        </w:rPr>
        <w:t xml:space="preserve"> </w:t>
      </w:r>
      <w:r w:rsidRPr="007D49C0">
        <w:rPr>
          <w:b/>
        </w:rPr>
        <w:t xml:space="preserve">(уровень достоверности доказательств – </w:t>
      </w:r>
      <w:r w:rsidR="00DE7BBA" w:rsidRPr="007D49C0">
        <w:rPr>
          <w:b/>
        </w:rPr>
        <w:t>4</w:t>
      </w:r>
      <w:r w:rsidRPr="007D49C0">
        <w:rPr>
          <w:b/>
        </w:rPr>
        <w:t>)</w:t>
      </w:r>
    </w:p>
    <w:p w:rsidR="00F418CE" w:rsidRPr="007D49C0" w:rsidRDefault="00F418CE" w:rsidP="00F418CE">
      <w:pPr>
        <w:pStyle w:val="afb"/>
        <w:spacing w:beforeAutospacing="0" w:afterAutospacing="0" w:line="360" w:lineRule="auto"/>
        <w:ind w:left="709" w:firstLine="0"/>
        <w:divId w:val="266810958"/>
        <w:rPr>
          <w:i/>
        </w:rPr>
      </w:pPr>
      <w:r w:rsidRPr="007D49C0">
        <w:rPr>
          <w:b/>
        </w:rPr>
        <w:t xml:space="preserve">Комментарии: </w:t>
      </w:r>
      <w:r w:rsidRPr="007D49C0">
        <w:rPr>
          <w:i/>
        </w:rPr>
        <w:t>При прогрессировании синдрома Сезари возможно поражение органов грудной клетки</w:t>
      </w:r>
      <w:r w:rsidR="000E54DB" w:rsidRPr="007D49C0">
        <w:rPr>
          <w:i/>
        </w:rPr>
        <w:t>, поражение органов малого таза, органов брюшной полости и забрюшинного пространства</w:t>
      </w:r>
    </w:p>
    <w:p w:rsidR="00F418CE" w:rsidRPr="007D49C0" w:rsidRDefault="00F418CE" w:rsidP="007C6EA6">
      <w:pPr>
        <w:pStyle w:val="afff7"/>
        <w:divId w:val="266810958"/>
      </w:pPr>
      <w:r w:rsidRPr="007D49C0">
        <w:rPr>
          <w:b/>
        </w:rPr>
        <w:t>Рекомендуется</w:t>
      </w:r>
      <w:r w:rsidRPr="007D49C0">
        <w:t xml:space="preserve"> для выявления пролиферативного поражения лимфатических узлов и внутренних органов при синдроме Сезари</w:t>
      </w:r>
      <w:r w:rsidR="007C6EA6" w:rsidRPr="007D49C0">
        <w:t xml:space="preserve"> </w:t>
      </w:r>
      <w:r w:rsidR="002B10E8" w:rsidRPr="007D49C0">
        <w:t>п</w:t>
      </w:r>
      <w:r w:rsidR="002B39E8" w:rsidRPr="007D49C0">
        <w:t xml:space="preserve">озитронная эмиссионная томография, совмещенная с компьютерной томографией с туморотропными РФП </w:t>
      </w:r>
      <w:r w:rsidR="002B10E8" w:rsidRPr="007D49C0">
        <w:t>[</w:t>
      </w:r>
      <w:r w:rsidR="007F5462" w:rsidRPr="007D49C0">
        <w:rPr>
          <w:lang w:eastAsia="ru-RU"/>
        </w:rPr>
        <w:t>34</w:t>
      </w:r>
      <w:r w:rsidR="002B10E8" w:rsidRPr="007D49C0">
        <w:t>]</w:t>
      </w:r>
    </w:p>
    <w:p w:rsidR="00F9594B" w:rsidRPr="007D49C0" w:rsidRDefault="00DE7BBA">
      <w:pPr>
        <w:pStyle w:val="afb"/>
        <w:tabs>
          <w:tab w:val="num" w:pos="1134"/>
        </w:tabs>
        <w:spacing w:beforeAutospacing="0" w:afterAutospacing="0" w:line="360" w:lineRule="auto"/>
        <w:ind w:left="709" w:firstLine="0"/>
        <w:divId w:val="266810958"/>
      </w:pPr>
      <w:r w:rsidRPr="007D49C0">
        <w:rPr>
          <w:rStyle w:val="affa"/>
        </w:rPr>
        <w:t xml:space="preserve">Уровень убедительности рекомендаций С </w:t>
      </w:r>
      <w:r w:rsidRPr="007D49C0">
        <w:rPr>
          <w:b/>
        </w:rPr>
        <w:t xml:space="preserve">(уровень достоверности доказательств – </w:t>
      </w:r>
      <w:r w:rsidR="00F50F81" w:rsidRPr="007D49C0">
        <w:rPr>
          <w:b/>
        </w:rPr>
        <w:t>2</w:t>
      </w:r>
      <w:r w:rsidRPr="007D49C0">
        <w:rPr>
          <w:b/>
        </w:rPr>
        <w:t>)</w:t>
      </w:r>
    </w:p>
    <w:p w:rsidR="00F418CE" w:rsidRPr="007D49C0" w:rsidRDefault="00F418CE" w:rsidP="00F418CE">
      <w:pPr>
        <w:pStyle w:val="aff2"/>
        <w:divId w:val="266810958"/>
      </w:pPr>
      <w:r w:rsidRPr="007D49C0">
        <w:rPr>
          <w:b/>
        </w:rPr>
        <w:t xml:space="preserve">Комментарии: </w:t>
      </w:r>
      <w:r w:rsidRPr="007D49C0">
        <w:rPr>
          <w:i/>
        </w:rPr>
        <w:t>Выявление изменений лимфатических узлов</w:t>
      </w:r>
      <w:r w:rsidR="00DE7BBA" w:rsidRPr="007D49C0">
        <w:rPr>
          <w:i/>
        </w:rPr>
        <w:t xml:space="preserve"> </w:t>
      </w:r>
      <w:r w:rsidRPr="007D49C0">
        <w:rPr>
          <w:i/>
        </w:rPr>
        <w:t>или внутренних органов, обусловленных патологической пролиферацией Т-лимфоцитов, свидетельствует о прогрессировании синдрома Сезари.</w:t>
      </w:r>
    </w:p>
    <w:p w:rsidR="00B46390" w:rsidRPr="007D49C0" w:rsidRDefault="00B46390" w:rsidP="00B104EF">
      <w:pPr>
        <w:pStyle w:val="2"/>
        <w:divId w:val="266810958"/>
      </w:pPr>
      <w:bookmarkStart w:id="41" w:name="_Toc36831353"/>
      <w:bookmarkStart w:id="42" w:name="_Toc34301086"/>
      <w:r w:rsidRPr="007D49C0">
        <w:t>2.5 Ин</w:t>
      </w:r>
      <w:r w:rsidR="00A70F44" w:rsidRPr="007D49C0">
        <w:t>ые диагностические исследования</w:t>
      </w:r>
      <w:bookmarkEnd w:id="41"/>
      <w:bookmarkEnd w:id="42"/>
    </w:p>
    <w:p w:rsidR="00F756F0" w:rsidRPr="007D49C0" w:rsidRDefault="001A0D28" w:rsidP="00E30C99">
      <w:pPr>
        <w:pStyle w:val="2-6"/>
        <w:ind w:left="709" w:firstLine="0"/>
        <w:rPr>
          <w:rFonts w:eastAsia="Times New Roman" w:cs="Calibri"/>
          <w:lang w:eastAsia="ru-RU"/>
        </w:rPr>
      </w:pPr>
      <w:bookmarkStart w:id="43" w:name="__RefHeading___doc_3"/>
      <w:r w:rsidRPr="007D49C0">
        <w:rPr>
          <w:rStyle w:val="affb"/>
          <w:i w:val="0"/>
          <w:iCs w:val="0"/>
        </w:rPr>
        <w:t>При обследовании</w:t>
      </w:r>
      <w:r w:rsidR="002B10E8" w:rsidRPr="007D49C0">
        <w:rPr>
          <w:rStyle w:val="affb"/>
          <w:i w:val="0"/>
        </w:rPr>
        <w:t xml:space="preserve"> </w:t>
      </w:r>
      <w:r w:rsidRPr="007D49C0">
        <w:rPr>
          <w:rFonts w:eastAsia="Times New Roman" w:cs="Calibri"/>
          <w:lang w:eastAsia="ru-RU"/>
        </w:rPr>
        <w:t xml:space="preserve">пациентов с синдромом Сезари проводится стадирование заболевания согласно рекомендациям </w:t>
      </w:r>
      <w:r w:rsidRPr="007D49C0">
        <w:rPr>
          <w:rFonts w:eastAsia="Times New Roman" w:cs="Calibri"/>
          <w:lang w:val="en-US" w:eastAsia="ru-RU"/>
        </w:rPr>
        <w:t>ISLE</w:t>
      </w:r>
      <w:r w:rsidRPr="007D49C0">
        <w:rPr>
          <w:rFonts w:eastAsia="Times New Roman" w:cs="Calibri"/>
          <w:lang w:eastAsia="ru-RU"/>
        </w:rPr>
        <w:t>-</w:t>
      </w:r>
      <w:r w:rsidRPr="007D49C0">
        <w:rPr>
          <w:rFonts w:eastAsia="Times New Roman" w:cs="Calibri"/>
          <w:lang w:val="en-US" w:eastAsia="ru-RU"/>
        </w:rPr>
        <w:t>EORTC</w:t>
      </w:r>
      <w:r w:rsidRPr="007D49C0">
        <w:rPr>
          <w:rFonts w:eastAsia="Times New Roman" w:cs="Calibri"/>
          <w:lang w:eastAsia="ru-RU"/>
        </w:rPr>
        <w:t xml:space="preserve"> (Приложение Г1) [9].</w:t>
      </w:r>
    </w:p>
    <w:p w:rsidR="007C6EA6" w:rsidRPr="007D49C0" w:rsidRDefault="007C6EA6" w:rsidP="00E30C99">
      <w:pPr>
        <w:pStyle w:val="afff7"/>
        <w:rPr>
          <w:rStyle w:val="affa"/>
        </w:rPr>
      </w:pPr>
      <w:r w:rsidRPr="007D49C0">
        <w:rPr>
          <w:b/>
        </w:rPr>
        <w:t xml:space="preserve">Рекомендуется </w:t>
      </w:r>
      <w:r w:rsidRPr="007D49C0">
        <w:rPr>
          <w:rStyle w:val="affa"/>
          <w:b w:val="0"/>
        </w:rPr>
        <w:t xml:space="preserve">всем пациентам для верификации диагноза синдрома Сезари, а также при необходимости контроля эффективности терапии, </w:t>
      </w:r>
      <w:r w:rsidRPr="007D49C0">
        <w:t xml:space="preserve">патолого-анатомическое исследование биопсийного (операционного) материала кожи </w:t>
      </w:r>
      <w:r w:rsidRPr="007D49C0">
        <w:rPr>
          <w:rStyle w:val="affb"/>
          <w:i w:val="0"/>
        </w:rPr>
        <w:t xml:space="preserve">[7, </w:t>
      </w:r>
      <w:r w:rsidRPr="007D49C0">
        <w:t>11</w:t>
      </w:r>
      <w:r w:rsidRPr="007D49C0">
        <w:rPr>
          <w:rStyle w:val="affb"/>
          <w:i w:val="0"/>
        </w:rPr>
        <w:t>]</w:t>
      </w:r>
    </w:p>
    <w:p w:rsidR="007C6EA6" w:rsidRPr="007D49C0" w:rsidRDefault="007C6EA6" w:rsidP="007C6EA6">
      <w:pPr>
        <w:pStyle w:val="afff7"/>
        <w:numPr>
          <w:ilvl w:val="0"/>
          <w:numId w:val="0"/>
        </w:numPr>
        <w:spacing w:before="0"/>
        <w:ind w:left="709"/>
      </w:pPr>
      <w:r w:rsidRPr="007D49C0">
        <w:rPr>
          <w:rStyle w:val="affa"/>
        </w:rPr>
        <w:t>Уровень убедительности рекомендаций</w:t>
      </w:r>
      <w:r w:rsidRPr="007D49C0">
        <w:rPr>
          <w:rStyle w:val="affa"/>
        </w:rPr>
        <w:softHyphen/>
        <w:t xml:space="preserve"> С </w:t>
      </w:r>
      <w:r w:rsidRPr="007D49C0">
        <w:rPr>
          <w:b/>
        </w:rPr>
        <w:t>(уровень достоверности доказательств – 5)</w:t>
      </w:r>
    </w:p>
    <w:p w:rsidR="007C6EA6" w:rsidRPr="007D49C0" w:rsidRDefault="007C6EA6" w:rsidP="007C6EA6">
      <w:pPr>
        <w:pStyle w:val="aff2"/>
        <w:rPr>
          <w:i/>
        </w:rPr>
      </w:pPr>
      <w:r w:rsidRPr="007D49C0">
        <w:rPr>
          <w:b/>
        </w:rPr>
        <w:t xml:space="preserve">Комментарии: </w:t>
      </w:r>
      <w:r w:rsidRPr="007D49C0">
        <w:rPr>
          <w:i/>
        </w:rPr>
        <w:t xml:space="preserve">Наиболее часто встречающимся морфологическим признаком синдрома Сезари является поверхностный периваскулярный или полосовидный инфильтрат из крупных лимфоцитов, которые могут проявлять признаки атипии (крупные, гиперхромные или конволютивные ядра) [12, 13].  Может присутствовать эпидермотропизм [13, 14]. Тем не менее, при синдроме Сезари гистологические признаки, позволяющие установить диагноз, часто отсутствуют. Гистологические признаки синдрома Сезари отсутствовали в 39% образцов, полученных от 41 пациента [13]. В другом исследовании </w:t>
      </w:r>
      <w:r w:rsidRPr="007D49C0">
        <w:rPr>
          <w:i/>
        </w:rPr>
        <w:lastRenderedPageBreak/>
        <w:t xml:space="preserve">эпидермотропизм отсутствовал или был минимально выражен у 19 из 31 пациентов с синдромом Сезари [15].  </w:t>
      </w:r>
    </w:p>
    <w:p w:rsidR="005F6A9B" w:rsidRPr="007D49C0" w:rsidRDefault="005F6A9B" w:rsidP="00E30C99">
      <w:pPr>
        <w:pStyle w:val="afff7"/>
      </w:pPr>
      <w:r w:rsidRPr="007D49C0">
        <w:rPr>
          <w:b/>
        </w:rPr>
        <w:t xml:space="preserve">Рекомендуется </w:t>
      </w:r>
      <w:r w:rsidR="00DE7BBA" w:rsidRPr="007D49C0">
        <w:rPr>
          <w:rFonts w:eastAsia="Calibri"/>
        </w:rPr>
        <w:t>при выявлении во время ультразвукового исследования признаков поражения лимфатических узлов патолого-анатомическое исследование биопсийного (операционного) материала лимфоузла [10]</w:t>
      </w:r>
    </w:p>
    <w:p w:rsidR="005F6A9B" w:rsidRPr="007D49C0" w:rsidRDefault="005F6A9B" w:rsidP="00305BCA">
      <w:pPr>
        <w:pStyle w:val="afb"/>
        <w:tabs>
          <w:tab w:val="num" w:pos="1134"/>
        </w:tabs>
        <w:spacing w:beforeAutospacing="0" w:afterAutospacing="0" w:line="360" w:lineRule="auto"/>
        <w:ind w:left="709" w:firstLine="0"/>
        <w:rPr>
          <w:b/>
        </w:rPr>
      </w:pPr>
      <w:r w:rsidRPr="007D49C0">
        <w:rPr>
          <w:rStyle w:val="affa"/>
        </w:rPr>
        <w:t xml:space="preserve">Уровень убедительности рекомендаций </w:t>
      </w:r>
      <w:r w:rsidRPr="007D49C0">
        <w:rPr>
          <w:rStyle w:val="affa"/>
        </w:rPr>
        <w:softHyphen/>
        <w:t>С</w:t>
      </w:r>
      <w:r w:rsidR="002B10E8" w:rsidRPr="007D49C0">
        <w:rPr>
          <w:rStyle w:val="affa"/>
        </w:rPr>
        <w:t xml:space="preserve"> </w:t>
      </w:r>
      <w:r w:rsidRPr="007D49C0">
        <w:rPr>
          <w:b/>
        </w:rPr>
        <w:t>(уровень достоверности доказательств – 4)</w:t>
      </w:r>
    </w:p>
    <w:p w:rsidR="005F6A9B" w:rsidRDefault="005F6A9B" w:rsidP="005F6A9B">
      <w:pPr>
        <w:pStyle w:val="aff2"/>
        <w:rPr>
          <w:rStyle w:val="affb"/>
        </w:rPr>
      </w:pPr>
      <w:r w:rsidRPr="007D49C0">
        <w:rPr>
          <w:b/>
        </w:rPr>
        <w:t xml:space="preserve">Комментарии: </w:t>
      </w:r>
      <w:r w:rsidRPr="007D49C0">
        <w:rPr>
          <w:rStyle w:val="affb"/>
        </w:rPr>
        <w:t>Для проведения биопсии выбирают лимфатические узлы размером 1,5 см и более  с плотной, неравномерной консистенцией (гистологическое исследование, проточная цитометрия, определение реарранжировки гена ТКР), биопсия выполняется врачами-специалистами с хирургической специализацией, в том числе врачом-онколого</w:t>
      </w:r>
      <w:r w:rsidR="009F7DA5" w:rsidRPr="007D49C0">
        <w:rPr>
          <w:rStyle w:val="affb"/>
        </w:rPr>
        <w:t>м</w:t>
      </w:r>
      <w:r w:rsidRPr="007D49C0">
        <w:rPr>
          <w:rStyle w:val="affb"/>
        </w:rPr>
        <w:t xml:space="preserve">/гематологом. </w:t>
      </w:r>
      <w:r w:rsidRPr="007D49C0">
        <w:rPr>
          <w:i/>
        </w:rPr>
        <w:t>Патолого-анатомическое исследование биопсийного (операционного) материала лимфоузла</w:t>
      </w:r>
      <w:r w:rsidR="00305BCA" w:rsidRPr="007D49C0">
        <w:rPr>
          <w:i/>
        </w:rPr>
        <w:t xml:space="preserve"> </w:t>
      </w:r>
      <w:r w:rsidRPr="007D49C0">
        <w:rPr>
          <w:i/>
        </w:rPr>
        <w:t>позволяет определить наличие специфического поражения лимфоузлов.</w:t>
      </w:r>
      <w:r w:rsidR="00222CBB" w:rsidRPr="007D49C0">
        <w:rPr>
          <w:i/>
        </w:rPr>
        <w:t xml:space="preserve"> </w:t>
      </w:r>
      <w:r w:rsidRPr="007D49C0">
        <w:rPr>
          <w:rStyle w:val="affb"/>
        </w:rPr>
        <w:t>При выявлении специфического поражения лимфатических узлов пациент направляется</w:t>
      </w:r>
      <w:r>
        <w:rPr>
          <w:rStyle w:val="affb"/>
        </w:rPr>
        <w:t xml:space="preserve"> для дальнейшего ведения и лечения к врачу-гематологу или врачу-онкологу.</w:t>
      </w:r>
    </w:p>
    <w:p w:rsidR="005F6A9B" w:rsidRPr="007D49C0" w:rsidRDefault="005F6A9B" w:rsidP="00305BCA">
      <w:pPr>
        <w:pStyle w:val="afff7"/>
      </w:pPr>
      <w:r w:rsidRPr="007D49C0">
        <w:rPr>
          <w:b/>
        </w:rPr>
        <w:t>Рекомендуется</w:t>
      </w:r>
      <w:r w:rsidRPr="00305BCA">
        <w:t xml:space="preserve"> пациентам с подозрением на поражение костного мозга</w:t>
      </w:r>
      <w:r w:rsidR="00305BCA">
        <w:t xml:space="preserve"> </w:t>
      </w:r>
      <w:proofErr w:type="gramStart"/>
      <w:r w:rsidRPr="00305BCA">
        <w:t>патолого-</w:t>
      </w:r>
      <w:r w:rsidRPr="007D49C0">
        <w:t>анатомическое</w:t>
      </w:r>
      <w:proofErr w:type="gramEnd"/>
      <w:r w:rsidRPr="007D49C0">
        <w:t xml:space="preserve"> исследование биопсийного (операционного) материала костного мозга</w:t>
      </w:r>
      <w:r w:rsidR="002B10E8" w:rsidRPr="007D49C0">
        <w:t xml:space="preserve"> [</w:t>
      </w:r>
      <w:r w:rsidR="007F5462" w:rsidRPr="007D49C0">
        <w:t>10</w:t>
      </w:r>
      <w:r w:rsidR="00C1211E" w:rsidRPr="007D49C0">
        <w:t>, 19</w:t>
      </w:r>
      <w:r w:rsidR="002B10E8" w:rsidRPr="007D49C0">
        <w:t>]</w:t>
      </w:r>
    </w:p>
    <w:p w:rsidR="005F6A9B" w:rsidRPr="00BE7F13" w:rsidRDefault="005F6A9B" w:rsidP="005F6A9B">
      <w:pPr>
        <w:pStyle w:val="aff2"/>
      </w:pPr>
      <w:r w:rsidRPr="007D49C0">
        <w:rPr>
          <w:rStyle w:val="affa"/>
        </w:rPr>
        <w:t>Уровень убедительности рекомендаций С</w:t>
      </w:r>
      <w:r w:rsidR="002B10E8" w:rsidRPr="007D49C0">
        <w:rPr>
          <w:rStyle w:val="affa"/>
        </w:rPr>
        <w:t xml:space="preserve"> </w:t>
      </w:r>
      <w:r w:rsidRPr="007D49C0">
        <w:rPr>
          <w:b/>
        </w:rPr>
        <w:t>(уровень достоверности доказательств – 4)</w:t>
      </w:r>
    </w:p>
    <w:p w:rsidR="005F6A9B" w:rsidRDefault="005F6A9B" w:rsidP="005F6A9B">
      <w:pPr>
        <w:pStyle w:val="aff2"/>
        <w:rPr>
          <w:rStyle w:val="affb"/>
        </w:rPr>
      </w:pPr>
      <w:r w:rsidRPr="00BE7F13">
        <w:rPr>
          <w:b/>
        </w:rPr>
        <w:t xml:space="preserve">Комментарии: </w:t>
      </w:r>
      <w:proofErr w:type="spellStart"/>
      <w:r w:rsidRPr="00BE7F13">
        <w:rPr>
          <w:rStyle w:val="affb"/>
        </w:rPr>
        <w:t>Трепанобиопсия</w:t>
      </w:r>
      <w:proofErr w:type="spellEnd"/>
      <w:r w:rsidRPr="00BE7F13">
        <w:rPr>
          <w:rStyle w:val="affb"/>
        </w:rPr>
        <w:t xml:space="preserve"> костного мозга выполняется врачами-специалистами, владеющими методикой</w:t>
      </w:r>
      <w:r>
        <w:rPr>
          <w:rStyle w:val="affb"/>
        </w:rPr>
        <w:t xml:space="preserve"> забора трепанобиоптата костного мозга (врачами-хирургами, врачами-гематологами или врачами-онкологами</w:t>
      </w:r>
      <w:r>
        <w:t xml:space="preserve">). </w:t>
      </w:r>
      <w:r>
        <w:rPr>
          <w:i/>
        </w:rPr>
        <w:t>П</w:t>
      </w:r>
      <w:r w:rsidRPr="002374BC">
        <w:rPr>
          <w:i/>
        </w:rPr>
        <w:t xml:space="preserve">атолого-анатомическое исследование биопсийного (операционного) материала </w:t>
      </w:r>
      <w:r>
        <w:rPr>
          <w:i/>
        </w:rPr>
        <w:t>костного мозга</w:t>
      </w:r>
      <w:r w:rsidR="00305BCA">
        <w:rPr>
          <w:i/>
        </w:rPr>
        <w:t xml:space="preserve"> </w:t>
      </w:r>
      <w:r w:rsidRPr="002374BC">
        <w:rPr>
          <w:i/>
        </w:rPr>
        <w:t xml:space="preserve">позволяет </w:t>
      </w:r>
      <w:r>
        <w:rPr>
          <w:i/>
        </w:rPr>
        <w:t xml:space="preserve">определить наличие специфического поражения костного мозга. </w:t>
      </w:r>
      <w:r>
        <w:rPr>
          <w:rStyle w:val="affb"/>
        </w:rPr>
        <w:t>При выявлении специфического поражения костного мозга пациент направляется для дальнейшего ведения и лечения к врачу-гематологу или врачу-онкологу.</w:t>
      </w:r>
    </w:p>
    <w:p w:rsidR="000414F6" w:rsidRDefault="00CB71DA" w:rsidP="00C4630C">
      <w:pPr>
        <w:pStyle w:val="afff1"/>
      </w:pPr>
      <w:bookmarkStart w:id="44" w:name="_Toc36831354"/>
      <w:bookmarkStart w:id="45" w:name="_Toc34301087"/>
      <w:r>
        <w:lastRenderedPageBreak/>
        <w:t xml:space="preserve">3. </w:t>
      </w:r>
      <w:r w:rsidRPr="00B104EF">
        <w:t>Лечение</w:t>
      </w:r>
      <w:bookmarkEnd w:id="43"/>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44"/>
      <w:bookmarkEnd w:id="45"/>
    </w:p>
    <w:p w:rsidR="001A0D28" w:rsidRPr="00E30CCD" w:rsidRDefault="001A0D28" w:rsidP="001A0D28">
      <w:pPr>
        <w:ind w:left="357"/>
        <w:divId w:val="1767193717"/>
        <w:rPr>
          <w:i/>
          <w:color w:val="FF0000"/>
          <w:szCs w:val="24"/>
        </w:rPr>
      </w:pPr>
      <w:bookmarkStart w:id="46" w:name="_Toc469402341"/>
      <w:bookmarkStart w:id="47" w:name="_Toc468273538"/>
      <w:bookmarkStart w:id="48" w:name="_Toc468273456"/>
      <w:bookmarkEnd w:id="46"/>
      <w:bookmarkEnd w:id="47"/>
      <w:bookmarkEnd w:id="48"/>
      <w:r w:rsidRPr="00B552E0">
        <w:rPr>
          <w:szCs w:val="24"/>
        </w:rPr>
        <w:t xml:space="preserve">Выбор вида терапии при </w:t>
      </w:r>
      <w:r>
        <w:rPr>
          <w:szCs w:val="24"/>
        </w:rPr>
        <w:t>синдрома Сезари</w:t>
      </w:r>
      <w:r w:rsidRPr="00B552E0">
        <w:rPr>
          <w:szCs w:val="24"/>
        </w:rPr>
        <w:t xml:space="preserve"> должен базироваться на определении степени тяжести заболевания (учитываются степень инфильтрации кожи, наличие/отсутствие кожных узлов, выраженность лимфаденопатии, степень интенсивности вовлечения крови, уровень </w:t>
      </w:r>
      <w:r>
        <w:rPr>
          <w:szCs w:val="24"/>
        </w:rPr>
        <w:t>лактатдегирогеназы</w:t>
      </w:r>
      <w:r w:rsidRPr="00B552E0">
        <w:rPr>
          <w:szCs w:val="24"/>
        </w:rPr>
        <w:t xml:space="preserve"> и лейкоцитов в периферической крови), скорости его прогрессирования и влияния на качество жизни пациента. </w:t>
      </w:r>
      <w:r>
        <w:rPr>
          <w:szCs w:val="24"/>
        </w:rPr>
        <w:t>П</w:t>
      </w:r>
      <w:r w:rsidRPr="00B552E0">
        <w:rPr>
          <w:szCs w:val="24"/>
        </w:rPr>
        <w:t>ринципы назначени</w:t>
      </w:r>
      <w:r>
        <w:rPr>
          <w:szCs w:val="24"/>
        </w:rPr>
        <w:t>я</w:t>
      </w:r>
      <w:r w:rsidRPr="00B552E0">
        <w:rPr>
          <w:szCs w:val="24"/>
        </w:rPr>
        <w:t xml:space="preserve"> терапии </w:t>
      </w:r>
      <w:r>
        <w:rPr>
          <w:szCs w:val="24"/>
        </w:rPr>
        <w:t>пациентам с синдромом Сезари:</w:t>
      </w:r>
    </w:p>
    <w:p w:rsidR="001A0D28" w:rsidRPr="00B552E0" w:rsidRDefault="001A0D28" w:rsidP="001A0D28">
      <w:pPr>
        <w:numPr>
          <w:ilvl w:val="0"/>
          <w:numId w:val="21"/>
        </w:numPr>
        <w:tabs>
          <w:tab w:val="left" w:pos="993"/>
        </w:tabs>
        <w:ind w:left="0" w:firstLine="567"/>
        <w:divId w:val="1767193717"/>
        <w:rPr>
          <w:szCs w:val="24"/>
        </w:rPr>
      </w:pPr>
      <w:r w:rsidRPr="00B552E0">
        <w:rPr>
          <w:szCs w:val="24"/>
        </w:rPr>
        <w:t>Подходы к лечению определяются массой опухоли и скоростью прогрессии</w:t>
      </w:r>
    </w:p>
    <w:p w:rsidR="001A0D28" w:rsidRPr="00B552E0" w:rsidRDefault="001A0D28" w:rsidP="001A0D28">
      <w:pPr>
        <w:numPr>
          <w:ilvl w:val="0"/>
          <w:numId w:val="21"/>
        </w:numPr>
        <w:tabs>
          <w:tab w:val="left" w:pos="993"/>
        </w:tabs>
        <w:ind w:left="0" w:firstLine="567"/>
        <w:divId w:val="1767193717"/>
        <w:rPr>
          <w:szCs w:val="24"/>
        </w:rPr>
      </w:pPr>
      <w:r w:rsidRPr="00B552E0">
        <w:rPr>
          <w:szCs w:val="24"/>
        </w:rPr>
        <w:t>По возможности необходимо избегать подавления иммунного ответа</w:t>
      </w:r>
    </w:p>
    <w:p w:rsidR="001A0D28" w:rsidRPr="00B552E0" w:rsidRDefault="001A0D28" w:rsidP="001A0D28">
      <w:pPr>
        <w:numPr>
          <w:ilvl w:val="0"/>
          <w:numId w:val="21"/>
        </w:numPr>
        <w:tabs>
          <w:tab w:val="left" w:pos="993"/>
        </w:tabs>
        <w:ind w:left="0" w:firstLine="567"/>
        <w:divId w:val="1767193717"/>
        <w:rPr>
          <w:szCs w:val="24"/>
        </w:rPr>
      </w:pPr>
      <w:r w:rsidRPr="00B552E0">
        <w:rPr>
          <w:szCs w:val="24"/>
        </w:rPr>
        <w:t>При необходимости системного лечения предпочтительно назначение иммуномодулирующей терапии, а не химиотерапии</w:t>
      </w:r>
    </w:p>
    <w:p w:rsidR="001A0D28" w:rsidRPr="00B552E0" w:rsidRDefault="001A0D28" w:rsidP="001A0D28">
      <w:pPr>
        <w:numPr>
          <w:ilvl w:val="0"/>
          <w:numId w:val="21"/>
        </w:numPr>
        <w:tabs>
          <w:tab w:val="left" w:pos="993"/>
        </w:tabs>
        <w:ind w:left="0" w:firstLine="567"/>
        <w:divId w:val="1767193717"/>
        <w:rPr>
          <w:szCs w:val="24"/>
        </w:rPr>
      </w:pPr>
      <w:r w:rsidRPr="00B552E0">
        <w:rPr>
          <w:szCs w:val="24"/>
        </w:rPr>
        <w:t>Комбинированная или мультимодальная (например, сочетание системной иммуномодулирующей и наружной) терапия более эффективна, чем любая монотерапия</w:t>
      </w:r>
    </w:p>
    <w:p w:rsidR="001A0D28" w:rsidRPr="00B552E0" w:rsidRDefault="001A0D28" w:rsidP="001A0D28">
      <w:pPr>
        <w:numPr>
          <w:ilvl w:val="0"/>
          <w:numId w:val="21"/>
        </w:numPr>
        <w:tabs>
          <w:tab w:val="left" w:pos="993"/>
        </w:tabs>
        <w:ind w:left="0" w:firstLine="567"/>
        <w:divId w:val="1767193717"/>
        <w:rPr>
          <w:szCs w:val="24"/>
        </w:rPr>
      </w:pPr>
      <w:r w:rsidRPr="00B552E0">
        <w:rPr>
          <w:szCs w:val="24"/>
        </w:rPr>
        <w:t>Своевременная диагностика и лечение инфекционных осложнений (иногда даже при отсутствии клинических признаков инфекционного процесса на коже) приводит к улучшению состояния пациента</w:t>
      </w:r>
    </w:p>
    <w:p w:rsidR="00CC5156" w:rsidRPr="00D74813" w:rsidRDefault="001A0D28" w:rsidP="001A0D28">
      <w:pPr>
        <w:pStyle w:val="2-6"/>
        <w:divId w:val="1767193717"/>
      </w:pPr>
      <w:r w:rsidRPr="00B552E0">
        <w:t>Большое значение имеет лечение зуда, значительно снижающего качество жизни.</w:t>
      </w:r>
    </w:p>
    <w:p w:rsidR="002929B1" w:rsidRDefault="004E1288" w:rsidP="002929B1">
      <w:pPr>
        <w:pStyle w:val="2"/>
        <w:spacing w:before="0"/>
        <w:divId w:val="1767193717"/>
        <w:rPr>
          <w:rFonts w:eastAsia="Times New Roman"/>
        </w:rPr>
      </w:pPr>
      <w:bookmarkStart w:id="49" w:name="_Toc36831355"/>
      <w:bookmarkStart w:id="50" w:name="_Toc34301088"/>
      <w:r w:rsidRPr="004E1288">
        <w:rPr>
          <w:rFonts w:eastAsia="Times New Roman"/>
        </w:rPr>
        <w:t>3.1</w:t>
      </w:r>
      <w:r w:rsidR="00DE7BBA" w:rsidRPr="00DE7BBA">
        <w:rPr>
          <w:rFonts w:eastAsia="Times New Roman"/>
        </w:rPr>
        <w:t xml:space="preserve"> </w:t>
      </w:r>
      <w:r w:rsidRPr="004E1288">
        <w:rPr>
          <w:rFonts w:eastAsia="Times New Roman"/>
        </w:rPr>
        <w:t>Консервативное лечение</w:t>
      </w:r>
      <w:bookmarkEnd w:id="49"/>
      <w:bookmarkEnd w:id="50"/>
    </w:p>
    <w:p w:rsidR="00E35232" w:rsidRDefault="00E35232" w:rsidP="00E35232">
      <w:pPr>
        <w:pStyle w:val="2-6"/>
        <w:divId w:val="1767193717"/>
      </w:pPr>
      <w:r>
        <w:t xml:space="preserve">Выделяют </w:t>
      </w:r>
      <w:r w:rsidR="00D649B9">
        <w:t>терапи</w:t>
      </w:r>
      <w:r>
        <w:t>ю</w:t>
      </w:r>
      <w:r w:rsidR="00D649B9">
        <w:t xml:space="preserve"> пациентов с синдромом Сезари первой линии и второй линии. Терапевтическими средствами первой линии начинают терапию </w:t>
      </w:r>
      <w:r w:rsidR="00C579D5">
        <w:t>пациентов с</w:t>
      </w:r>
      <w:r w:rsidR="00187CF9" w:rsidRPr="00187CF9">
        <w:t xml:space="preserve"> </w:t>
      </w:r>
      <w:r w:rsidR="00D649B9">
        <w:t xml:space="preserve">синдромом Сезари. </w:t>
      </w:r>
      <w:r>
        <w:t xml:space="preserve">В случае, если средство терапии первой линии недостаточно эффективно, возможна комбинированная терапия средствами первой линии. </w:t>
      </w:r>
    </w:p>
    <w:p w:rsidR="00F756F0" w:rsidRPr="00D74813" w:rsidRDefault="00E35232" w:rsidP="00E35232">
      <w:pPr>
        <w:pStyle w:val="2-6"/>
        <w:divId w:val="1767193717"/>
        <w:rPr>
          <w:rStyle w:val="affb"/>
          <w:iCs w:val="0"/>
        </w:rPr>
      </w:pPr>
      <w:r w:rsidRPr="00B552E0">
        <w:t>Вторая линия терапии применяется при отсутствии ответа на лечение, рефрактерном течении заболевания или его прогрессировании, несмотря на проведенное лечение первой линии. Выбор лечения зависит от возраста пациента, степени тяжести поражения крови, общего соматического статуса и предыдущих методов</w:t>
      </w:r>
      <w:r>
        <w:t xml:space="preserve"> терапии</w:t>
      </w:r>
      <w:r w:rsidRPr="00B552E0">
        <w:t>.</w:t>
      </w:r>
    </w:p>
    <w:p w:rsidR="00E35232" w:rsidRPr="000334CF" w:rsidRDefault="00B104EF" w:rsidP="000334CF">
      <w:pPr>
        <w:pStyle w:val="afff7"/>
        <w:divId w:val="1767193717"/>
        <w:rPr>
          <w:lang w:val="en-US"/>
        </w:rPr>
      </w:pPr>
      <w:r w:rsidRPr="00D74813">
        <w:rPr>
          <w:b/>
        </w:rPr>
        <w:t>Рекоменду</w:t>
      </w:r>
      <w:r w:rsidR="00E35232">
        <w:rPr>
          <w:b/>
        </w:rPr>
        <w:t>ю</w:t>
      </w:r>
      <w:r w:rsidRPr="00D74813">
        <w:rPr>
          <w:b/>
        </w:rPr>
        <w:t xml:space="preserve">тся </w:t>
      </w:r>
      <w:r w:rsidR="00E35232" w:rsidRPr="00E35232">
        <w:t>для терапии первой линии</w:t>
      </w:r>
      <w:r w:rsidR="00187CF9" w:rsidRPr="00187CF9">
        <w:t xml:space="preserve"> </w:t>
      </w:r>
      <w:r w:rsidR="00E35232" w:rsidRPr="00E35232">
        <w:t>пациент</w:t>
      </w:r>
      <w:r w:rsidR="00E35232">
        <w:t>ов</w:t>
      </w:r>
      <w:r w:rsidR="00E35232" w:rsidRPr="00E35232">
        <w:t xml:space="preserve"> с синдромом Сезари</w:t>
      </w:r>
      <w:r w:rsidR="00187CF9" w:rsidRPr="000334CF">
        <w:t xml:space="preserve"> </w:t>
      </w:r>
      <w:r w:rsidR="00E35232" w:rsidRPr="000334CF">
        <w:t>интерферон</w:t>
      </w:r>
      <w:r w:rsidR="00921FEF">
        <w:t>ов</w:t>
      </w:r>
      <w:r w:rsidR="00E35232" w:rsidRPr="000334CF">
        <w:t xml:space="preserve"> </w:t>
      </w:r>
      <w:r w:rsidR="002229C4" w:rsidRPr="000334CF">
        <w:t>(</w:t>
      </w:r>
      <w:r w:rsidR="00EB2963" w:rsidRPr="000334CF">
        <w:t xml:space="preserve">в дозе 9–18 млн МЕ </w:t>
      </w:r>
      <w:r w:rsidR="002229C4" w:rsidRPr="000334CF">
        <w:t>подкожно для интерферона альфа-2</w:t>
      </w:r>
      <w:r w:rsidR="002229C4" w:rsidRPr="000334CF">
        <w:rPr>
          <w:lang w:val="en-US"/>
        </w:rPr>
        <w:t>a</w:t>
      </w:r>
      <w:r w:rsidR="00921FEF">
        <w:t>**</w:t>
      </w:r>
      <w:r w:rsidR="002229C4" w:rsidRPr="000334CF">
        <w:t>, внутримышечно или подкожно для интерферона альфа-2</w:t>
      </w:r>
      <w:r w:rsidR="002229C4" w:rsidRPr="000334CF">
        <w:rPr>
          <w:lang w:val="en-US"/>
        </w:rPr>
        <w:t>b</w:t>
      </w:r>
      <w:r w:rsidR="00921FEF">
        <w:t>**</w:t>
      </w:r>
      <w:r w:rsidR="002229C4" w:rsidRPr="000334CF">
        <w:t xml:space="preserve">) </w:t>
      </w:r>
      <w:r w:rsidR="00E35232" w:rsidRPr="000334CF">
        <w:t>ежедневно в течение 3-х месяцев, затем 3 раза в неделю</w:t>
      </w:r>
      <w:r w:rsidR="00575315" w:rsidRPr="000334CF">
        <w:t xml:space="preserve"> </w:t>
      </w:r>
      <w:r w:rsidR="00575315" w:rsidRPr="000334CF">
        <w:rPr>
          <w:lang w:val="en-US"/>
        </w:rPr>
        <w:t>[</w:t>
      </w:r>
      <w:r w:rsidR="00C1211E" w:rsidRPr="000334CF">
        <w:t xml:space="preserve">7, 8, </w:t>
      </w:r>
      <w:r w:rsidR="000334CF">
        <w:t xml:space="preserve">30, </w:t>
      </w:r>
      <w:r w:rsidR="00C1211E" w:rsidRPr="000334CF">
        <w:t>36</w:t>
      </w:r>
      <w:r w:rsidR="00C1211E" w:rsidRPr="000334CF">
        <w:rPr>
          <w:lang w:val="en-US"/>
        </w:rPr>
        <w:t>, 37</w:t>
      </w:r>
      <w:r w:rsidR="00575315" w:rsidRPr="000334CF">
        <w:rPr>
          <w:lang w:val="en-US"/>
        </w:rPr>
        <w:t>]</w:t>
      </w:r>
      <w:r w:rsidR="00E35232" w:rsidRPr="000334CF">
        <w:rPr>
          <w:lang w:val="en-US"/>
        </w:rPr>
        <w:t>.</w:t>
      </w:r>
    </w:p>
    <w:p w:rsidR="00E35232" w:rsidRPr="007D49C0" w:rsidRDefault="00297C27" w:rsidP="00E35232">
      <w:pPr>
        <w:pStyle w:val="aff1"/>
        <w:divId w:val="1767193717"/>
      </w:pPr>
      <w:r w:rsidRPr="007D49C0">
        <w:rPr>
          <w:rStyle w:val="affa"/>
          <w:b/>
        </w:rPr>
        <w:lastRenderedPageBreak/>
        <w:t xml:space="preserve">Уровень убедительности рекомендаций </w:t>
      </w:r>
      <w:r w:rsidRPr="007D49C0">
        <w:rPr>
          <w:rStyle w:val="affa"/>
          <w:b/>
        </w:rPr>
        <w:softHyphen/>
        <w:t>С</w:t>
      </w:r>
      <w:r w:rsidRPr="007D49C0">
        <w:t xml:space="preserve"> (уровень достоверности доказательств – </w:t>
      </w:r>
      <w:r w:rsidR="000334CF" w:rsidRPr="007D49C0">
        <w:t>4</w:t>
      </w:r>
      <w:r w:rsidRPr="007D49C0">
        <w:t>)</w:t>
      </w:r>
    </w:p>
    <w:p w:rsidR="00E35232" w:rsidRPr="007D49C0" w:rsidRDefault="00E35232" w:rsidP="00E35232">
      <w:pPr>
        <w:pStyle w:val="aff1"/>
        <w:divId w:val="1767193717"/>
        <w:rPr>
          <w:b w:val="0"/>
          <w:i/>
        </w:rPr>
      </w:pPr>
      <w:r w:rsidRPr="007D49C0">
        <w:t xml:space="preserve">Комментарии: </w:t>
      </w:r>
      <w:r w:rsidRPr="007D49C0">
        <w:rPr>
          <w:b w:val="0"/>
          <w:i/>
        </w:rPr>
        <w:t>При непереносимости высоких доз интерферона</w:t>
      </w:r>
      <w:r w:rsidRPr="007D49C0">
        <w:rPr>
          <w:b w:val="0"/>
        </w:rPr>
        <w:t>-α</w:t>
      </w:r>
      <w:r w:rsidRPr="007D49C0">
        <w:rPr>
          <w:b w:val="0"/>
          <w:i/>
        </w:rPr>
        <w:t xml:space="preserve"> назначают 3–6 </w:t>
      </w:r>
      <w:r w:rsidR="0067265E" w:rsidRPr="007D49C0">
        <w:rPr>
          <w:b w:val="0"/>
          <w:i/>
        </w:rPr>
        <w:t>млн МЕ</w:t>
      </w:r>
      <w:r w:rsidRPr="007D49C0">
        <w:rPr>
          <w:b w:val="0"/>
          <w:i/>
        </w:rPr>
        <w:t xml:space="preserve"> ежедневно или 3 раза в неделю.</w:t>
      </w:r>
      <w:r w:rsidR="006523C6" w:rsidRPr="007D49C0">
        <w:rPr>
          <w:rFonts w:eastAsiaTheme="minorEastAsia"/>
          <w:b w:val="0"/>
          <w:lang w:eastAsia="ru-RU"/>
        </w:rPr>
        <w:t xml:space="preserve"> </w:t>
      </w:r>
      <w:r w:rsidR="006523C6" w:rsidRPr="007D49C0">
        <w:rPr>
          <w:b w:val="0"/>
          <w:i/>
        </w:rPr>
        <w:t>При применении препарата возможны отклонения от нормы лабораторных показателей, проявляющиеся лейкопенией, лимфопенией, тромбоцитопенией, анемией, повышением активности аланинаминотрансферазы, щелочной фосфатазы, концентрации креатинина, мочевой кислоты. В случае появления признаков нарушения функции печени за больным необходимо установить тщательное наблюдение. При прогрессировании симптомов введение препарата следует прекратить. На фоне длительного приема препарата возможны изменения со стороны щитовидной железы. У пациентов с заболеваниями щитовидной железы перед началом лечения необходимо определить концентрацию тиреотропного гормона, рекомендуется контролировать его уровень не реже 1 раза в 6 месяцев. Очень редко – сахарный диабет.</w:t>
      </w:r>
      <w:r w:rsidR="006523C6" w:rsidRPr="007D49C0">
        <w:rPr>
          <w:rFonts w:eastAsiaTheme="minorEastAsia"/>
          <w:b w:val="0"/>
          <w:lang w:eastAsia="ru-RU"/>
        </w:rPr>
        <w:t xml:space="preserve"> </w:t>
      </w:r>
      <w:r w:rsidR="006523C6" w:rsidRPr="007D49C0">
        <w:rPr>
          <w:rFonts w:eastAsiaTheme="minorEastAsia"/>
          <w:b w:val="0"/>
          <w:i/>
          <w:lang w:eastAsia="ru-RU"/>
        </w:rPr>
        <w:t>При длительном применении, обычно после нескольких месяцев лечения, возможны нарушения со стороны органа зрения. До начала терапии рекомендуется провести офтальмологическое обследование. При жалобах на любые офтальмологические нарушения необходима немедленная консультация врача-офтальмолога. Пациентам с заболеваниями, при которых могут происходить изменения в сетчатке, например, с сахарным диабетом или артериальной гипертензией, необходимо проходить офтальмологический осмотр не реже 1 раза в 6 месяцев. Пациентам с заболеваниями сердечно-сосудистой системы и/или прогрессирующими онкологическими заболеваниями требуется тщательное наблюдение и мониторинг ЭКГ.</w:t>
      </w:r>
      <w:r w:rsidR="004C041E" w:rsidRPr="007D49C0">
        <w:rPr>
          <w:rFonts w:eastAsiaTheme="minorEastAsia"/>
          <w:b w:val="0"/>
          <w:lang w:eastAsia="ru-RU"/>
        </w:rPr>
        <w:t xml:space="preserve"> </w:t>
      </w:r>
      <w:r w:rsidR="004C041E" w:rsidRPr="007D49C0">
        <w:rPr>
          <w:rFonts w:eastAsiaTheme="minorEastAsia"/>
          <w:b w:val="0"/>
          <w:i/>
          <w:lang w:eastAsia="ru-RU"/>
        </w:rPr>
        <w:t>В случае появления изменений со стороны психической сферы и/или ЦНС, включая развитие депрессии, рекомендуется наблюдение психиатра в период лечения, а также в течение 6 месяцев после его окончания.</w:t>
      </w:r>
    </w:p>
    <w:p w:rsidR="00E35232" w:rsidRPr="007D49C0" w:rsidRDefault="00E35232" w:rsidP="00E35232">
      <w:pPr>
        <w:pStyle w:val="aff1"/>
        <w:divId w:val="1767193717"/>
        <w:rPr>
          <w:b w:val="0"/>
        </w:rPr>
      </w:pPr>
      <w:r w:rsidRPr="007D49C0">
        <w:rPr>
          <w:b w:val="0"/>
        </w:rPr>
        <w:t>или</w:t>
      </w:r>
    </w:p>
    <w:p w:rsidR="00E35232" w:rsidRPr="007D49C0" w:rsidRDefault="00E35232" w:rsidP="00E35232">
      <w:pPr>
        <w:pStyle w:val="aff1"/>
        <w:divId w:val="1767193717"/>
        <w:rPr>
          <w:b w:val="0"/>
        </w:rPr>
      </w:pPr>
      <w:r w:rsidRPr="007D49C0">
        <w:rPr>
          <w:b w:val="0"/>
        </w:rPr>
        <w:t xml:space="preserve">метотрексат** </w:t>
      </w:r>
      <w:r w:rsidR="00A1540A" w:rsidRPr="007D49C0">
        <w:rPr>
          <w:b w:val="0"/>
        </w:rPr>
        <w:t xml:space="preserve">перорально </w:t>
      </w:r>
      <w:r w:rsidRPr="007D49C0">
        <w:rPr>
          <w:b w:val="0"/>
        </w:rPr>
        <w:t>в дозе менее 100 мг в неделю</w:t>
      </w:r>
      <w:r w:rsidR="00575315" w:rsidRPr="007D49C0">
        <w:rPr>
          <w:b w:val="0"/>
        </w:rPr>
        <w:t xml:space="preserve"> </w:t>
      </w:r>
      <w:r w:rsidRPr="007D49C0">
        <w:rPr>
          <w:b w:val="0"/>
        </w:rPr>
        <w:t>[</w:t>
      </w:r>
      <w:r w:rsidR="00C1211E" w:rsidRPr="007D49C0">
        <w:rPr>
          <w:b w:val="0"/>
        </w:rPr>
        <w:t>7, 8, 36</w:t>
      </w:r>
      <w:r w:rsidR="004C455B" w:rsidRPr="007D49C0">
        <w:rPr>
          <w:b w:val="0"/>
        </w:rPr>
        <w:t>, 38</w:t>
      </w:r>
      <w:r w:rsidRPr="007D49C0">
        <w:rPr>
          <w:b w:val="0"/>
        </w:rPr>
        <w:t>]</w:t>
      </w:r>
    </w:p>
    <w:p w:rsidR="00314152" w:rsidRPr="007D49C0" w:rsidRDefault="00297C27" w:rsidP="003B7588">
      <w:pPr>
        <w:pStyle w:val="aff1"/>
        <w:divId w:val="1767193717"/>
      </w:pPr>
      <w:r w:rsidRPr="007D49C0">
        <w:rPr>
          <w:rStyle w:val="affa"/>
          <w:b/>
        </w:rPr>
        <w:t>Уровень убедительности рекомендаций</w:t>
      </w:r>
      <w:r w:rsidRPr="007D49C0">
        <w:rPr>
          <w:rStyle w:val="affa"/>
          <w:b/>
        </w:rPr>
        <w:softHyphen/>
        <w:t xml:space="preserve"> С</w:t>
      </w:r>
      <w:r w:rsidR="00187CF9" w:rsidRPr="007D49C0">
        <w:rPr>
          <w:b w:val="0"/>
        </w:rPr>
        <w:t xml:space="preserve"> </w:t>
      </w:r>
      <w:r w:rsidRPr="007D49C0">
        <w:t>(уровень достоверности доказательств – 5)</w:t>
      </w:r>
    </w:p>
    <w:p w:rsidR="003B7588" w:rsidRPr="007D49C0" w:rsidRDefault="003B7588" w:rsidP="003B7588">
      <w:pPr>
        <w:pStyle w:val="affff0"/>
        <w:spacing w:after="0" w:line="360" w:lineRule="auto"/>
        <w:ind w:left="709"/>
        <w:jc w:val="both"/>
        <w:divId w:val="1767193717"/>
        <w:rPr>
          <w:i/>
        </w:rPr>
      </w:pPr>
      <w:r w:rsidRPr="007D49C0">
        <w:rPr>
          <w:rFonts w:ascii="Times New Roman" w:hAnsi="Times New Roman" w:cs="Times New Roman"/>
          <w:b/>
          <w:sz w:val="24"/>
          <w:szCs w:val="24"/>
        </w:rPr>
        <w:t>Комментарии:</w:t>
      </w:r>
      <w:r w:rsidRPr="007D49C0">
        <w:t xml:space="preserve"> </w:t>
      </w:r>
      <w:r w:rsidRPr="007D49C0">
        <w:rPr>
          <w:rFonts w:ascii="Times New Roman" w:hAnsi="Times New Roman" w:cs="Times New Roman"/>
          <w:i/>
          <w:sz w:val="24"/>
          <w:szCs w:val="24"/>
        </w:rPr>
        <w:t xml:space="preserve">Перед началом лечения метотрексатом или при возобновлении терапии после перерыва необходимо проводить клинический анализ крови с подсчетом лейкоцитарной формулы и количества тромбоцитов, оценивать </w:t>
      </w:r>
      <w:r w:rsidRPr="007D49C0">
        <w:rPr>
          <w:rFonts w:ascii="Times New Roman" w:hAnsi="Times New Roman" w:cs="Times New Roman"/>
          <w:i/>
          <w:sz w:val="24"/>
          <w:szCs w:val="24"/>
        </w:rPr>
        <w:lastRenderedPageBreak/>
        <w:t xml:space="preserve">активность «печеночных» ферментов, концентрацию билирубина, альбумина сыворотки, а также рентгенографическое исследование органов грудной клетки и функциональные почечные тесты. При наличии клинических показаний назначают исследования с целью исключения и гепатита. </w:t>
      </w:r>
    </w:p>
    <w:p w:rsidR="003B7588" w:rsidRPr="007D49C0" w:rsidRDefault="003B7588" w:rsidP="003B7588">
      <w:pPr>
        <w:pStyle w:val="affff0"/>
        <w:spacing w:after="0" w:line="360" w:lineRule="auto"/>
        <w:ind w:left="709"/>
        <w:jc w:val="both"/>
        <w:divId w:val="1767193717"/>
        <w:rPr>
          <w:i/>
        </w:rPr>
      </w:pPr>
      <w:r w:rsidRPr="007D49C0">
        <w:rPr>
          <w:rFonts w:ascii="Times New Roman" w:hAnsi="Times New Roman" w:cs="Times New Roman"/>
          <w:i/>
          <w:sz w:val="24"/>
          <w:szCs w:val="24"/>
        </w:rPr>
        <w:t>В процессе лечения метотрексатом (ежемесячно в первые 6 месяцев и не реже, чем каждые 3 месяца в дальнейшем, при повышении доз целесообразно повышать частоту обследований) проводят следующие исследования:</w:t>
      </w:r>
    </w:p>
    <w:p w:rsidR="003B7588" w:rsidRPr="007D49C0" w:rsidRDefault="003B7588" w:rsidP="003B7588">
      <w:pPr>
        <w:pStyle w:val="afd"/>
        <w:numPr>
          <w:ilvl w:val="0"/>
          <w:numId w:val="34"/>
        </w:numPr>
        <w:suppressAutoHyphens/>
        <w:ind w:left="993"/>
        <w:divId w:val="1767193717"/>
        <w:rPr>
          <w:i/>
        </w:rPr>
      </w:pPr>
      <w:r w:rsidRPr="007D49C0">
        <w:rPr>
          <w:i/>
          <w:szCs w:val="24"/>
        </w:rPr>
        <w:t>Обследование ротовой полости и горла для выявления изменений слизистых оболочек.</w:t>
      </w:r>
    </w:p>
    <w:p w:rsidR="003B7588" w:rsidRPr="007D49C0" w:rsidRDefault="003B7588" w:rsidP="003B7588">
      <w:pPr>
        <w:pStyle w:val="afd"/>
        <w:numPr>
          <w:ilvl w:val="0"/>
          <w:numId w:val="34"/>
        </w:numPr>
        <w:suppressAutoHyphens/>
        <w:ind w:left="993"/>
        <w:divId w:val="1767193717"/>
        <w:rPr>
          <w:i/>
        </w:rPr>
      </w:pPr>
      <w:r w:rsidRPr="007D49C0">
        <w:rPr>
          <w:i/>
          <w:szCs w:val="24"/>
        </w:rPr>
        <w:t>Анализ крови с определением лейкоцитарной формулы и количества тромбоцитов. Даже при применении в обычных терапевтических дозах метотрексат может внезапно вызвать угнетение системы кроветворения. В случае значительного снижения количества лейкоцитов или тромбоцитов лечение метотрексатом немедленно прекращают и назначают симптоматическую поддерживающую терапию.</w:t>
      </w:r>
    </w:p>
    <w:p w:rsidR="003B7588" w:rsidRPr="007D49C0" w:rsidRDefault="003B7588" w:rsidP="003B7588">
      <w:pPr>
        <w:pStyle w:val="afd"/>
        <w:numPr>
          <w:ilvl w:val="0"/>
          <w:numId w:val="34"/>
        </w:numPr>
        <w:suppressAutoHyphens/>
        <w:ind w:left="993"/>
        <w:divId w:val="1767193717"/>
        <w:rPr>
          <w:i/>
        </w:rPr>
      </w:pPr>
      <w:r w:rsidRPr="007D49C0">
        <w:rPr>
          <w:i/>
          <w:szCs w:val="24"/>
        </w:rPr>
        <w:t xml:space="preserve">Функциональные печеночные пробы. Особое внимание необходимо уделять выявлению признаков повреждения печени. Лечение метотрексатом не следует начинать или необходимо приостанавливать в случае любых отклонений результатов функциональных печеночных тестов или биопсии печени. Обычно показатели нормализуются в течение 2 недель, после чего лечение по решению может быть возобновлено. </w:t>
      </w:r>
    </w:p>
    <w:p w:rsidR="003B7588" w:rsidRPr="007D49C0" w:rsidRDefault="003B7588" w:rsidP="003B7588">
      <w:pPr>
        <w:pStyle w:val="afd"/>
        <w:numPr>
          <w:ilvl w:val="0"/>
          <w:numId w:val="34"/>
        </w:numPr>
        <w:suppressAutoHyphens/>
        <w:ind w:left="993"/>
        <w:divId w:val="1767193717"/>
        <w:rPr>
          <w:i/>
        </w:rPr>
      </w:pPr>
      <w:r w:rsidRPr="007D49C0">
        <w:rPr>
          <w:i/>
          <w:szCs w:val="24"/>
        </w:rPr>
        <w:t xml:space="preserve">Функциональные почечные пробы и исследование мочи. Поскольку метотрексат экскретируется преимущественно почками, у пациентов с нарушениями функции почек может наблюдаться повышение концентрации метотрексата в крови, следствием чего могут быть тяжелые побочные реакции. Необходимо тщательно контролировать состояние пациентов, у которых возможны нарушения функции почек (например, пожилых пациентов). </w:t>
      </w:r>
    </w:p>
    <w:p w:rsidR="003B7588" w:rsidRPr="007D49C0" w:rsidRDefault="003B7588" w:rsidP="003B7588">
      <w:pPr>
        <w:pStyle w:val="afd"/>
        <w:numPr>
          <w:ilvl w:val="0"/>
          <w:numId w:val="34"/>
        </w:numPr>
        <w:suppressAutoHyphens/>
        <w:ind w:left="993"/>
        <w:divId w:val="1767193717"/>
        <w:rPr>
          <w:i/>
        </w:rPr>
      </w:pPr>
      <w:r w:rsidRPr="007D49C0">
        <w:rPr>
          <w:i/>
          <w:szCs w:val="24"/>
        </w:rPr>
        <w:t>Исследование дыхательной системы.</w:t>
      </w:r>
      <w:r w:rsidRPr="007D49C0">
        <w:rPr>
          <w:b/>
          <w:i/>
          <w:szCs w:val="24"/>
        </w:rPr>
        <w:t xml:space="preserve"> </w:t>
      </w:r>
    </w:p>
    <w:p w:rsidR="004C2673" w:rsidRPr="007D49C0" w:rsidRDefault="003B7588" w:rsidP="003B7588">
      <w:pPr>
        <w:pStyle w:val="afd"/>
        <w:numPr>
          <w:ilvl w:val="0"/>
          <w:numId w:val="34"/>
        </w:numPr>
        <w:suppressAutoHyphens/>
        <w:ind w:left="993"/>
        <w:divId w:val="1767193717"/>
        <w:rPr>
          <w:i/>
        </w:rPr>
      </w:pPr>
      <w:r w:rsidRPr="007D49C0">
        <w:rPr>
          <w:i/>
          <w:szCs w:val="24"/>
        </w:rPr>
        <w:t xml:space="preserve">Поскольку метотрексат оказывает воздействие на иммунную систему, он может изменять реакцию на вакцинацию и влиять на результаты иммунологических тестов. Особая осторожность необходима при лечении пациентов с неактивными, хроническими инфекциями (такими как опоясывающий лишай, туберкулез, вирусный гепатит В или С) ввиду их </w:t>
      </w:r>
      <w:r w:rsidRPr="007D49C0">
        <w:rPr>
          <w:i/>
          <w:szCs w:val="24"/>
        </w:rPr>
        <w:lastRenderedPageBreak/>
        <w:t>возможной активации. В период лечения метотрексатом не следует проводить вакцинацию живыми вакцинами.</w:t>
      </w:r>
      <w:r w:rsidR="004C2673" w:rsidRPr="007D49C0">
        <w:rPr>
          <w:i/>
          <w:szCs w:val="24"/>
        </w:rPr>
        <w:t xml:space="preserve"> </w:t>
      </w:r>
    </w:p>
    <w:p w:rsidR="003B7588" w:rsidRPr="007D49C0" w:rsidRDefault="004C2673" w:rsidP="004C2673">
      <w:pPr>
        <w:pStyle w:val="afd"/>
        <w:suppressAutoHyphens/>
        <w:ind w:left="709" w:firstLine="0"/>
        <w:divId w:val="1767193717"/>
        <w:rPr>
          <w:i/>
        </w:rPr>
      </w:pPr>
      <w:r w:rsidRPr="007D49C0">
        <w:rPr>
          <w:i/>
          <w:szCs w:val="24"/>
        </w:rPr>
        <w:t>В связи с возможностью активации хронической инфекции пациентам, которым планируется или проводится терапия метотрексатом, может потребоваться определение антител к поверхностному антигену (HBsAg) вируса гепатита B (Hepatitis B virus), определение антител к вирусу гепатита C (Hepatitis C virus) в крови</w:t>
      </w:r>
      <w:r w:rsidR="00A1540A" w:rsidRPr="007D49C0">
        <w:rPr>
          <w:i/>
          <w:szCs w:val="24"/>
        </w:rPr>
        <w:t xml:space="preserve"> с целью выявления противопоказаний к системной терапии метотрексатом</w:t>
      </w:r>
      <w:r w:rsidRPr="007D49C0">
        <w:rPr>
          <w:i/>
          <w:szCs w:val="24"/>
        </w:rPr>
        <w:t>.</w:t>
      </w:r>
    </w:p>
    <w:p w:rsidR="00E35232" w:rsidRPr="007D49C0" w:rsidRDefault="00E35232" w:rsidP="000334CF">
      <w:pPr>
        <w:pStyle w:val="afff7"/>
        <w:divId w:val="1767193717"/>
      </w:pPr>
      <w:r w:rsidRPr="007D49C0">
        <w:t>Рекомендуется при недостаточной эффективности монотерапии первой линии комбинированная терапия с применением лекарственных средств первой линии [</w:t>
      </w:r>
      <w:r w:rsidR="00C1211E" w:rsidRPr="007D49C0">
        <w:t>7, 8, 36</w:t>
      </w:r>
      <w:r w:rsidRPr="007D49C0">
        <w:t>]</w:t>
      </w:r>
      <w:r w:rsidR="00C1211E" w:rsidRPr="007D49C0">
        <w:t>:</w:t>
      </w:r>
    </w:p>
    <w:p w:rsidR="00E35232" w:rsidRPr="007D49C0" w:rsidRDefault="00E35232" w:rsidP="00E90536">
      <w:pPr>
        <w:pStyle w:val="aff1"/>
        <w:divId w:val="1767193717"/>
        <w:rPr>
          <w:b w:val="0"/>
        </w:rPr>
      </w:pPr>
      <w:r w:rsidRPr="007D49C0">
        <w:rPr>
          <w:b w:val="0"/>
        </w:rPr>
        <w:t>интерферон-α</w:t>
      </w:r>
      <w:r w:rsidR="00A011E7" w:rsidRPr="007D49C0">
        <w:rPr>
          <w:b w:val="0"/>
        </w:rPr>
        <w:t>**</w:t>
      </w:r>
      <w:r w:rsidRPr="007D49C0">
        <w:rPr>
          <w:b w:val="0"/>
        </w:rPr>
        <w:t xml:space="preserve"> </w:t>
      </w:r>
      <w:r w:rsidR="00A1540A" w:rsidRPr="007D49C0">
        <w:rPr>
          <w:b w:val="0"/>
        </w:rPr>
        <w:t>подкожно для интерферона альфа-2</w:t>
      </w:r>
      <w:r w:rsidR="00A1540A" w:rsidRPr="007D49C0">
        <w:rPr>
          <w:b w:val="0"/>
          <w:lang w:val="en-US"/>
        </w:rPr>
        <w:t>a</w:t>
      </w:r>
      <w:r w:rsidR="00A1540A" w:rsidRPr="007D49C0">
        <w:rPr>
          <w:b w:val="0"/>
        </w:rPr>
        <w:t>, внутримышечно или подкожно для интерферона альфа-2</w:t>
      </w:r>
      <w:r w:rsidR="00A1540A" w:rsidRPr="007D49C0">
        <w:rPr>
          <w:b w:val="0"/>
          <w:lang w:val="en-US"/>
        </w:rPr>
        <w:t>b</w:t>
      </w:r>
      <w:r w:rsidR="00A1540A" w:rsidRPr="007D49C0">
        <w:rPr>
          <w:b w:val="0"/>
        </w:rPr>
        <w:t xml:space="preserve"> </w:t>
      </w:r>
      <w:r w:rsidRPr="007D49C0">
        <w:rPr>
          <w:b w:val="0"/>
        </w:rPr>
        <w:t>в сочетании с фотохимиотерапией с внутренним применением фотосенсибилизаторов</w:t>
      </w:r>
      <w:r w:rsidR="00575315" w:rsidRPr="007D49C0">
        <w:rPr>
          <w:b w:val="0"/>
        </w:rPr>
        <w:t xml:space="preserve"> </w:t>
      </w:r>
      <w:r w:rsidR="00E90536" w:rsidRPr="007D49C0">
        <w:rPr>
          <w:b w:val="0"/>
        </w:rPr>
        <w:t>[</w:t>
      </w:r>
      <w:r w:rsidR="00C1211E" w:rsidRPr="007D49C0">
        <w:rPr>
          <w:b w:val="0"/>
        </w:rPr>
        <w:t>7, 8, 36, 3</w:t>
      </w:r>
      <w:r w:rsidR="004C455B" w:rsidRPr="007D49C0">
        <w:rPr>
          <w:b w:val="0"/>
        </w:rPr>
        <w:t>9</w:t>
      </w:r>
      <w:r w:rsidR="00C1211E" w:rsidRPr="007D49C0">
        <w:rPr>
          <w:b w:val="0"/>
        </w:rPr>
        <w:t xml:space="preserve">, </w:t>
      </w:r>
      <w:r w:rsidR="004C455B" w:rsidRPr="007D49C0">
        <w:rPr>
          <w:b w:val="0"/>
        </w:rPr>
        <w:t>40</w:t>
      </w:r>
      <w:r w:rsidR="00E90536" w:rsidRPr="007D49C0">
        <w:rPr>
          <w:b w:val="0"/>
        </w:rPr>
        <w:t>]</w:t>
      </w:r>
    </w:p>
    <w:p w:rsidR="00E90536" w:rsidRPr="007D49C0" w:rsidRDefault="00297C27" w:rsidP="00E90536">
      <w:pPr>
        <w:pStyle w:val="aff1"/>
        <w:divId w:val="1767193717"/>
        <w:rPr>
          <w:b w:val="0"/>
        </w:rPr>
      </w:pPr>
      <w:r w:rsidRPr="007D49C0">
        <w:rPr>
          <w:rStyle w:val="affa"/>
          <w:b/>
        </w:rPr>
        <w:t>Уровень убедительности рекомендаций</w:t>
      </w:r>
      <w:r w:rsidRPr="007D49C0">
        <w:rPr>
          <w:rStyle w:val="affa"/>
          <w:b/>
        </w:rPr>
        <w:softHyphen/>
        <w:t xml:space="preserve"> С</w:t>
      </w:r>
      <w:r w:rsidR="00187CF9" w:rsidRPr="007D49C0">
        <w:rPr>
          <w:rStyle w:val="affa"/>
          <w:b/>
        </w:rPr>
        <w:t xml:space="preserve"> </w:t>
      </w:r>
      <w:r w:rsidRPr="007D49C0">
        <w:t xml:space="preserve">(уровень достоверности доказательств – </w:t>
      </w:r>
      <w:r w:rsidR="00C263E5" w:rsidRPr="007D49C0">
        <w:t>4</w:t>
      </w:r>
      <w:r w:rsidRPr="007D49C0">
        <w:t>)</w:t>
      </w:r>
    </w:p>
    <w:p w:rsidR="00E35232" w:rsidRPr="007D49C0" w:rsidRDefault="00E35232" w:rsidP="00E90536">
      <w:pPr>
        <w:pStyle w:val="aff1"/>
        <w:divId w:val="1767193717"/>
        <w:rPr>
          <w:b w:val="0"/>
        </w:rPr>
      </w:pPr>
      <w:r w:rsidRPr="007D49C0">
        <w:rPr>
          <w:b w:val="0"/>
        </w:rPr>
        <w:t>или</w:t>
      </w:r>
    </w:p>
    <w:p w:rsidR="00E35232" w:rsidRPr="007D49C0" w:rsidRDefault="00E35232" w:rsidP="00E90536">
      <w:pPr>
        <w:pStyle w:val="aff1"/>
        <w:divId w:val="1767193717"/>
        <w:rPr>
          <w:b w:val="0"/>
        </w:rPr>
      </w:pPr>
      <w:r w:rsidRPr="007D49C0">
        <w:rPr>
          <w:b w:val="0"/>
        </w:rPr>
        <w:t>метотрексат</w:t>
      </w:r>
      <w:r w:rsidR="0068707D" w:rsidRPr="007D49C0">
        <w:rPr>
          <w:b w:val="0"/>
        </w:rPr>
        <w:t>**</w:t>
      </w:r>
      <w:r w:rsidRPr="007D49C0">
        <w:rPr>
          <w:b w:val="0"/>
        </w:rPr>
        <w:t xml:space="preserve"> </w:t>
      </w:r>
      <w:r w:rsidR="00844444" w:rsidRPr="007D49C0">
        <w:rPr>
          <w:b w:val="0"/>
        </w:rPr>
        <w:t xml:space="preserve">перорально в дозе не более 100 мг в неделю </w:t>
      </w:r>
      <w:r w:rsidRPr="007D49C0">
        <w:rPr>
          <w:b w:val="0"/>
        </w:rPr>
        <w:t>в сочетании с глюкокортико</w:t>
      </w:r>
      <w:r w:rsidR="00E90536" w:rsidRPr="007D49C0">
        <w:rPr>
          <w:b w:val="0"/>
        </w:rPr>
        <w:t>и</w:t>
      </w:r>
      <w:r w:rsidRPr="007D49C0">
        <w:rPr>
          <w:b w:val="0"/>
        </w:rPr>
        <w:t>дами, применя</w:t>
      </w:r>
      <w:r w:rsidR="00E90536" w:rsidRPr="007D49C0">
        <w:rPr>
          <w:b w:val="0"/>
        </w:rPr>
        <w:t>е</w:t>
      </w:r>
      <w:r w:rsidRPr="007D49C0">
        <w:rPr>
          <w:b w:val="0"/>
        </w:rPr>
        <w:t>мыми в дерматологии</w:t>
      </w:r>
      <w:r w:rsidR="00575315" w:rsidRPr="007D49C0">
        <w:rPr>
          <w:b w:val="0"/>
        </w:rPr>
        <w:t xml:space="preserve"> </w:t>
      </w:r>
      <w:r w:rsidR="00E90536" w:rsidRPr="007D49C0">
        <w:rPr>
          <w:b w:val="0"/>
        </w:rPr>
        <w:t>[</w:t>
      </w:r>
      <w:r w:rsidR="00C1211E" w:rsidRPr="007D49C0">
        <w:rPr>
          <w:b w:val="0"/>
        </w:rPr>
        <w:t>7, 8, 36</w:t>
      </w:r>
      <w:r w:rsidR="00E90536" w:rsidRPr="007D49C0">
        <w:rPr>
          <w:b w:val="0"/>
        </w:rPr>
        <w:t>]</w:t>
      </w:r>
    </w:p>
    <w:p w:rsidR="00E90536" w:rsidRPr="007D49C0" w:rsidRDefault="00297C27" w:rsidP="00E90536">
      <w:pPr>
        <w:pStyle w:val="aff1"/>
        <w:divId w:val="1767193717"/>
        <w:rPr>
          <w:b w:val="0"/>
        </w:rPr>
      </w:pPr>
      <w:r w:rsidRPr="007D49C0">
        <w:rPr>
          <w:rStyle w:val="affa"/>
          <w:b/>
        </w:rPr>
        <w:t>Уровень убедительности рекомендаций</w:t>
      </w:r>
      <w:r w:rsidRPr="007D49C0">
        <w:rPr>
          <w:rStyle w:val="affa"/>
          <w:b/>
        </w:rPr>
        <w:softHyphen/>
        <w:t xml:space="preserve"> С</w:t>
      </w:r>
      <w:r w:rsidR="00187CF9" w:rsidRPr="007D49C0">
        <w:rPr>
          <w:rStyle w:val="affa"/>
          <w:b/>
        </w:rPr>
        <w:t xml:space="preserve"> </w:t>
      </w:r>
      <w:r w:rsidRPr="007D49C0">
        <w:t>(уровень достоверности доказательств – 5)</w:t>
      </w:r>
    </w:p>
    <w:p w:rsidR="00E90536" w:rsidRPr="007D49C0" w:rsidRDefault="00E90536" w:rsidP="00E90536">
      <w:pPr>
        <w:pStyle w:val="aff1"/>
        <w:divId w:val="1767193717"/>
        <w:rPr>
          <w:b w:val="0"/>
        </w:rPr>
      </w:pPr>
      <w:r w:rsidRPr="007D49C0">
        <w:rPr>
          <w:b w:val="0"/>
        </w:rPr>
        <w:t>или</w:t>
      </w:r>
    </w:p>
    <w:p w:rsidR="00E90536" w:rsidRPr="007D49C0" w:rsidRDefault="00E90536" w:rsidP="00E90536">
      <w:pPr>
        <w:pStyle w:val="aff1"/>
        <w:divId w:val="1767193717"/>
        <w:rPr>
          <w:b w:val="0"/>
        </w:rPr>
      </w:pPr>
      <w:r w:rsidRPr="007D49C0">
        <w:rPr>
          <w:b w:val="0"/>
        </w:rPr>
        <w:t>интерферон-α</w:t>
      </w:r>
      <w:r w:rsidR="00A011E7" w:rsidRPr="007D49C0">
        <w:rPr>
          <w:b w:val="0"/>
        </w:rPr>
        <w:t>**</w:t>
      </w:r>
      <w:r w:rsidRPr="007D49C0">
        <w:rPr>
          <w:b w:val="0"/>
        </w:rPr>
        <w:t xml:space="preserve"> </w:t>
      </w:r>
      <w:r w:rsidR="00A1540A" w:rsidRPr="007D49C0">
        <w:rPr>
          <w:b w:val="0"/>
        </w:rPr>
        <w:t>подкожно для интерферона альфа-2</w:t>
      </w:r>
      <w:r w:rsidR="00A1540A" w:rsidRPr="007D49C0">
        <w:rPr>
          <w:b w:val="0"/>
          <w:lang w:val="en-US"/>
        </w:rPr>
        <w:t>a</w:t>
      </w:r>
      <w:r w:rsidR="00A1540A" w:rsidRPr="007D49C0">
        <w:rPr>
          <w:b w:val="0"/>
        </w:rPr>
        <w:t>, внутримышечно или подкожно для интерферона альфа-2</w:t>
      </w:r>
      <w:r w:rsidR="00A1540A" w:rsidRPr="007D49C0">
        <w:rPr>
          <w:b w:val="0"/>
          <w:lang w:val="en-US"/>
        </w:rPr>
        <w:t>b</w:t>
      </w:r>
      <w:r w:rsidR="00A1540A" w:rsidRPr="007D49C0">
        <w:rPr>
          <w:b w:val="0"/>
        </w:rPr>
        <w:t xml:space="preserve"> </w:t>
      </w:r>
      <w:r w:rsidRPr="007D49C0">
        <w:rPr>
          <w:b w:val="0"/>
        </w:rPr>
        <w:t>в сочетании с</w:t>
      </w:r>
      <w:r w:rsidR="00575315" w:rsidRPr="007D49C0">
        <w:rPr>
          <w:b w:val="0"/>
        </w:rPr>
        <w:t xml:space="preserve"> </w:t>
      </w:r>
      <w:r w:rsidRPr="007D49C0">
        <w:rPr>
          <w:b w:val="0"/>
        </w:rPr>
        <w:t xml:space="preserve">метотрексатом </w:t>
      </w:r>
      <w:r w:rsidR="00A1540A" w:rsidRPr="007D49C0">
        <w:rPr>
          <w:b w:val="0"/>
        </w:rPr>
        <w:t xml:space="preserve">перорально </w:t>
      </w:r>
      <w:r w:rsidRPr="007D49C0">
        <w:rPr>
          <w:b w:val="0"/>
        </w:rPr>
        <w:t>[</w:t>
      </w:r>
      <w:r w:rsidR="00C1211E" w:rsidRPr="007D49C0">
        <w:rPr>
          <w:b w:val="0"/>
        </w:rPr>
        <w:t>7, 8, 36</w:t>
      </w:r>
      <w:r w:rsidR="001746DC" w:rsidRPr="007D49C0">
        <w:rPr>
          <w:b w:val="0"/>
        </w:rPr>
        <w:t xml:space="preserve">, </w:t>
      </w:r>
      <w:r w:rsidR="00C1211E" w:rsidRPr="007D49C0">
        <w:rPr>
          <w:b w:val="0"/>
        </w:rPr>
        <w:t>4</w:t>
      </w:r>
      <w:r w:rsidR="004C455B" w:rsidRPr="007D49C0">
        <w:rPr>
          <w:b w:val="0"/>
        </w:rPr>
        <w:t>1</w:t>
      </w:r>
      <w:r w:rsidRPr="007D49C0">
        <w:rPr>
          <w:b w:val="0"/>
        </w:rPr>
        <w:t>]</w:t>
      </w:r>
    </w:p>
    <w:p w:rsidR="00E90536" w:rsidRPr="007D49C0" w:rsidRDefault="00297C27" w:rsidP="00E90536">
      <w:pPr>
        <w:pStyle w:val="aff1"/>
        <w:divId w:val="1767193717"/>
      </w:pPr>
      <w:r w:rsidRPr="007D49C0">
        <w:rPr>
          <w:rStyle w:val="affa"/>
          <w:b/>
        </w:rPr>
        <w:t>Уровень убедительности рекомендаций</w:t>
      </w:r>
      <w:r w:rsidRPr="007D49C0">
        <w:rPr>
          <w:rStyle w:val="affa"/>
          <w:b/>
        </w:rPr>
        <w:softHyphen/>
        <w:t xml:space="preserve"> С</w:t>
      </w:r>
      <w:r w:rsidR="00DE7BBA" w:rsidRPr="007D49C0">
        <w:rPr>
          <w:rStyle w:val="affa"/>
        </w:rPr>
        <w:t xml:space="preserve"> </w:t>
      </w:r>
      <w:r w:rsidRPr="007D49C0">
        <w:t xml:space="preserve">(уровень достоверности доказательств – </w:t>
      </w:r>
      <w:r w:rsidR="00C263E5" w:rsidRPr="007D49C0">
        <w:t>4</w:t>
      </w:r>
      <w:r w:rsidRPr="007D49C0">
        <w:t>)</w:t>
      </w:r>
    </w:p>
    <w:p w:rsidR="00E90536" w:rsidRPr="007D49C0" w:rsidRDefault="00E90536" w:rsidP="000334CF">
      <w:pPr>
        <w:pStyle w:val="afff7"/>
        <w:divId w:val="1767193717"/>
      </w:pPr>
      <w:r w:rsidRPr="007D49C0">
        <w:t>Рекомендуется при неэффективности монотерапии первой линии или пр</w:t>
      </w:r>
      <w:r w:rsidR="00044192" w:rsidRPr="007D49C0">
        <w:t>и</w:t>
      </w:r>
      <w:r w:rsidRPr="007D49C0">
        <w:t xml:space="preserve"> неэффективности комбинированной терапии с применением средств первой линии терапия второй линии:</w:t>
      </w:r>
    </w:p>
    <w:p w:rsidR="00E90536" w:rsidRPr="007D49C0" w:rsidRDefault="00E90536" w:rsidP="00314152">
      <w:pPr>
        <w:pStyle w:val="aff1"/>
        <w:divId w:val="1767193717"/>
        <w:rPr>
          <w:b w:val="0"/>
        </w:rPr>
      </w:pPr>
      <w:r w:rsidRPr="007D49C0">
        <w:rPr>
          <w:b w:val="0"/>
        </w:rPr>
        <w:t>противоопухолевые препараты в сочетании с кортикостероидами системного действия</w:t>
      </w:r>
      <w:r w:rsidR="00575315" w:rsidRPr="007D49C0">
        <w:rPr>
          <w:b w:val="0"/>
        </w:rPr>
        <w:t xml:space="preserve"> </w:t>
      </w:r>
      <w:r w:rsidR="00314152" w:rsidRPr="007D49C0">
        <w:rPr>
          <w:b w:val="0"/>
        </w:rPr>
        <w:t>[</w:t>
      </w:r>
      <w:r w:rsidR="00C1211E" w:rsidRPr="007D49C0">
        <w:rPr>
          <w:b w:val="0"/>
        </w:rPr>
        <w:t>7, 8, 36</w:t>
      </w:r>
      <w:r w:rsidR="00314152" w:rsidRPr="007D49C0">
        <w:rPr>
          <w:b w:val="0"/>
        </w:rPr>
        <w:t>]</w:t>
      </w:r>
      <w:r w:rsidRPr="007D49C0">
        <w:rPr>
          <w:b w:val="0"/>
        </w:rPr>
        <w:t>:</w:t>
      </w:r>
    </w:p>
    <w:p w:rsidR="00E90536" w:rsidRPr="007D49C0" w:rsidRDefault="00E90536" w:rsidP="00E90536">
      <w:pPr>
        <w:pStyle w:val="aff1"/>
        <w:divId w:val="1767193717"/>
        <w:rPr>
          <w:b w:val="0"/>
        </w:rPr>
      </w:pPr>
      <w:r w:rsidRPr="007D49C0">
        <w:rPr>
          <w:b w:val="0"/>
        </w:rPr>
        <w:lastRenderedPageBreak/>
        <w:t>хлорамбуцил</w:t>
      </w:r>
      <w:r w:rsidR="00A011E7" w:rsidRPr="007D49C0">
        <w:rPr>
          <w:b w:val="0"/>
        </w:rPr>
        <w:t>**</w:t>
      </w:r>
      <w:r w:rsidRPr="007D49C0">
        <w:rPr>
          <w:b w:val="0"/>
        </w:rPr>
        <w:t xml:space="preserve"> 2–12 мг в сутки </w:t>
      </w:r>
      <w:r w:rsidR="00A011E7" w:rsidRPr="007D49C0">
        <w:rPr>
          <w:b w:val="0"/>
        </w:rPr>
        <w:t xml:space="preserve">перорально </w:t>
      </w:r>
      <w:r w:rsidRPr="007D49C0">
        <w:rPr>
          <w:b w:val="0"/>
        </w:rPr>
        <w:t xml:space="preserve">+ </w:t>
      </w:r>
      <w:r w:rsidR="00DE7BBA" w:rsidRPr="007D49C0">
        <w:rPr>
          <w:b w:val="0"/>
        </w:rPr>
        <w:t>#</w:t>
      </w:r>
      <w:r w:rsidRPr="007D49C0">
        <w:rPr>
          <w:b w:val="0"/>
        </w:rPr>
        <w:t>преднизолон</w:t>
      </w:r>
      <w:r w:rsidR="00A011E7" w:rsidRPr="007D49C0">
        <w:rPr>
          <w:b w:val="0"/>
        </w:rPr>
        <w:t>**</w:t>
      </w:r>
      <w:r w:rsidRPr="007D49C0">
        <w:rPr>
          <w:b w:val="0"/>
        </w:rPr>
        <w:t xml:space="preserve"> 20 мг в сутки</w:t>
      </w:r>
      <w:r w:rsidR="00A011E7" w:rsidRPr="007D49C0">
        <w:rPr>
          <w:b w:val="0"/>
        </w:rPr>
        <w:t xml:space="preserve"> перорально</w:t>
      </w:r>
      <w:r w:rsidR="00575315" w:rsidRPr="007D49C0">
        <w:rPr>
          <w:b w:val="0"/>
        </w:rPr>
        <w:t xml:space="preserve"> </w:t>
      </w:r>
      <w:r w:rsidR="001746DC" w:rsidRPr="007D49C0">
        <w:rPr>
          <w:b w:val="0"/>
        </w:rPr>
        <w:t>[</w:t>
      </w:r>
      <w:r w:rsidR="00C1211E" w:rsidRPr="007D49C0">
        <w:rPr>
          <w:b w:val="0"/>
        </w:rPr>
        <w:t>7, 8, 36</w:t>
      </w:r>
      <w:r w:rsidR="001746DC" w:rsidRPr="007D49C0">
        <w:rPr>
          <w:b w:val="0"/>
        </w:rPr>
        <w:t>]</w:t>
      </w:r>
    </w:p>
    <w:p w:rsidR="00E90536" w:rsidRPr="007D49C0" w:rsidRDefault="00297C27" w:rsidP="00E90536">
      <w:pPr>
        <w:pStyle w:val="aff1"/>
        <w:divId w:val="1767193717"/>
      </w:pPr>
      <w:r w:rsidRPr="007D49C0">
        <w:rPr>
          <w:rStyle w:val="affa"/>
          <w:b/>
        </w:rPr>
        <w:t>Уровень убедительности рекомендаций</w:t>
      </w:r>
      <w:r w:rsidRPr="007D49C0">
        <w:rPr>
          <w:rStyle w:val="affa"/>
          <w:b/>
        </w:rPr>
        <w:softHyphen/>
        <w:t xml:space="preserve"> С</w:t>
      </w:r>
      <w:r w:rsidR="00575315" w:rsidRPr="007D49C0">
        <w:rPr>
          <w:rStyle w:val="affa"/>
          <w:b/>
        </w:rPr>
        <w:t xml:space="preserve"> </w:t>
      </w:r>
      <w:r w:rsidRPr="007D49C0">
        <w:t>(уровень достоверности доказательств – 5)</w:t>
      </w:r>
    </w:p>
    <w:p w:rsidR="009519AB" w:rsidRPr="007D49C0" w:rsidRDefault="009519AB" w:rsidP="00E90536">
      <w:pPr>
        <w:pStyle w:val="aff1"/>
        <w:divId w:val="1767193717"/>
        <w:rPr>
          <w:b w:val="0"/>
          <w:i/>
        </w:rPr>
      </w:pPr>
      <w:r w:rsidRPr="007D49C0">
        <w:t xml:space="preserve">Комментарии: </w:t>
      </w:r>
      <w:r w:rsidRPr="007D49C0">
        <w:rPr>
          <w:b w:val="0"/>
          <w:i/>
        </w:rPr>
        <w:t>Во время терапии хлорамбуцилом следует учитывать возможность развития нежелательных явлений со стороны</w:t>
      </w:r>
      <w:r w:rsidRPr="007D49C0">
        <w:t xml:space="preserve"> </w:t>
      </w:r>
      <w:r w:rsidRPr="007D49C0">
        <w:rPr>
          <w:b w:val="0"/>
          <w:i/>
        </w:rPr>
        <w:t>системы кроветворения, желудочно-кишечного тракта, мочевыделительной системы и прочие. Наиболее частыми нежелательными эффектами терапии хлорамбуцилом являются лейкопения (обратима, если прием препарата прекращен своевременно), тромбоцитопения, лимфопения, нейтропения, снижение содержания гемоглобина Необратимое угнетение функции костного мозга развивается крайне редко. Редко отмечаются гепатотоксическое действие токсико-аллергического генеза (гепатонекроз или цирроз, холестаз, желтуха), гиперурикемия или нефропатия, обусловленная повышенным образованием мочевой кислоты.</w:t>
      </w:r>
    </w:p>
    <w:p w:rsidR="00287095" w:rsidRPr="00287095" w:rsidRDefault="00287095" w:rsidP="00E90536">
      <w:pPr>
        <w:pStyle w:val="aff1"/>
        <w:divId w:val="1767193717"/>
        <w:rPr>
          <w:b w:val="0"/>
          <w:i/>
        </w:rPr>
      </w:pPr>
      <w:r w:rsidRPr="007D49C0">
        <w:rPr>
          <w:b w:val="0"/>
          <w:i/>
        </w:rPr>
        <w:t>Во время терапии преднизолоном возможно развитие нежелательных явлений, требующих контроля, – снижение толерантности к глюкозе, «стероидный» сахарный диабет или манифестация латентного сахарного диабета, угнетение функции надпочечников,</w:t>
      </w:r>
      <w:r w:rsidRPr="007D49C0">
        <w:rPr>
          <w:rFonts w:eastAsia="SimSun"/>
          <w:b w:val="0"/>
          <w:color w:val="00000A"/>
          <w:kern w:val="1"/>
        </w:rPr>
        <w:t xml:space="preserve"> </w:t>
      </w:r>
      <w:r w:rsidRPr="007D49C0">
        <w:rPr>
          <w:b w:val="0"/>
          <w:i/>
        </w:rPr>
        <w:t>задержка жидкости и ионов натрия (периферические отеки), гипернатриемия, гипокалиемический синдром (гипокалиемия, аритмия, миалгия или спазм мышц, необычная слабость и утомляемость), в редких случаях – повышение активности «печеночных» трансаминаз и щелочной фосфатазы. Возможна также лейкоцитурия.</w:t>
      </w:r>
    </w:p>
    <w:p w:rsidR="00E90536" w:rsidRDefault="00E90536" w:rsidP="00E90536">
      <w:pPr>
        <w:pStyle w:val="aff1"/>
        <w:divId w:val="1767193717"/>
        <w:rPr>
          <w:b w:val="0"/>
        </w:rPr>
      </w:pPr>
      <w:r>
        <w:rPr>
          <w:b w:val="0"/>
        </w:rPr>
        <w:t xml:space="preserve">или </w:t>
      </w:r>
    </w:p>
    <w:p w:rsidR="00E90536" w:rsidRDefault="00E90536" w:rsidP="00E90536">
      <w:pPr>
        <w:pStyle w:val="aff1"/>
        <w:divId w:val="1767193717"/>
        <w:rPr>
          <w:b w:val="0"/>
        </w:rPr>
      </w:pPr>
      <w:r w:rsidRPr="00E90536">
        <w:rPr>
          <w:b w:val="0"/>
        </w:rPr>
        <w:t>противоопухолевые препараты</w:t>
      </w:r>
      <w:r w:rsidR="00044192">
        <w:rPr>
          <w:b w:val="0"/>
        </w:rPr>
        <w:t>:</w:t>
      </w:r>
    </w:p>
    <w:p w:rsidR="00314152" w:rsidRPr="007D49C0" w:rsidRDefault="00E90536" w:rsidP="00314152">
      <w:pPr>
        <w:pStyle w:val="aff1"/>
        <w:divId w:val="1767193717"/>
        <w:rPr>
          <w:b w:val="0"/>
        </w:rPr>
      </w:pPr>
      <w:r>
        <w:rPr>
          <w:b w:val="0"/>
        </w:rPr>
        <w:t>вориностат</w:t>
      </w:r>
      <w:r w:rsidR="00575315" w:rsidRPr="00575315">
        <w:rPr>
          <w:b w:val="0"/>
        </w:rPr>
        <w:t xml:space="preserve"> </w:t>
      </w:r>
      <w:r w:rsidR="00314152" w:rsidRPr="00314152">
        <w:rPr>
          <w:b w:val="0"/>
        </w:rPr>
        <w:t>перорально по 400 мг ежедневно до достижения полного контроля (</w:t>
      </w:r>
      <w:r w:rsidR="00314152" w:rsidRPr="007D49C0">
        <w:rPr>
          <w:b w:val="0"/>
        </w:rPr>
        <w:t>отсутствие признаков дальнейшего прогрессирования) или же до появления признаков неприемлемой токсичности</w:t>
      </w:r>
      <w:r w:rsidR="00575315" w:rsidRPr="007D49C0">
        <w:rPr>
          <w:b w:val="0"/>
        </w:rPr>
        <w:t xml:space="preserve"> </w:t>
      </w:r>
      <w:r w:rsidR="00314152" w:rsidRPr="007D49C0">
        <w:rPr>
          <w:b w:val="0"/>
        </w:rPr>
        <w:t>[</w:t>
      </w:r>
      <w:r w:rsidR="00C1211E" w:rsidRPr="007D49C0">
        <w:rPr>
          <w:b w:val="0"/>
        </w:rPr>
        <w:t>7, 8, 36, 4</w:t>
      </w:r>
      <w:r w:rsidR="004C455B" w:rsidRPr="007D49C0">
        <w:rPr>
          <w:b w:val="0"/>
        </w:rPr>
        <w:t>2</w:t>
      </w:r>
      <w:r w:rsidR="00C1211E" w:rsidRPr="007D49C0">
        <w:rPr>
          <w:b w:val="0"/>
        </w:rPr>
        <w:t>, 4</w:t>
      </w:r>
      <w:r w:rsidR="004C455B" w:rsidRPr="007D49C0">
        <w:rPr>
          <w:b w:val="0"/>
        </w:rPr>
        <w:t>3</w:t>
      </w:r>
      <w:r w:rsidR="00314152" w:rsidRPr="007D49C0">
        <w:rPr>
          <w:b w:val="0"/>
        </w:rPr>
        <w:t>]</w:t>
      </w:r>
    </w:p>
    <w:p w:rsidR="000334CF" w:rsidRPr="007D49C0" w:rsidRDefault="00DE7BBA" w:rsidP="000334CF">
      <w:pPr>
        <w:pStyle w:val="aff1"/>
        <w:divId w:val="1767193717"/>
      </w:pPr>
      <w:r w:rsidRPr="007D49C0">
        <w:rPr>
          <w:rStyle w:val="affa"/>
          <w:b/>
        </w:rPr>
        <w:t>Уровень убедительности рекомендаций</w:t>
      </w:r>
      <w:r w:rsidRPr="007D49C0">
        <w:rPr>
          <w:rStyle w:val="affa"/>
          <w:b/>
        </w:rPr>
        <w:softHyphen/>
        <w:t xml:space="preserve"> С </w:t>
      </w:r>
      <w:r w:rsidRPr="007D49C0">
        <w:t>(уровень достоверности доказательств – 5)</w:t>
      </w:r>
    </w:p>
    <w:p w:rsidR="008F478F" w:rsidRPr="007D49C0" w:rsidRDefault="008F478F" w:rsidP="00314152">
      <w:pPr>
        <w:pStyle w:val="aff1"/>
        <w:divId w:val="1767193717"/>
        <w:rPr>
          <w:b w:val="0"/>
        </w:rPr>
      </w:pPr>
      <w:r w:rsidRPr="007D49C0">
        <w:t>Комментарии:</w:t>
      </w:r>
      <w:r w:rsidRPr="007D49C0">
        <w:rPr>
          <w:b w:val="0"/>
        </w:rPr>
        <w:t xml:space="preserve"> </w:t>
      </w:r>
      <w:r w:rsidRPr="007D49C0">
        <w:rPr>
          <w:b w:val="0"/>
          <w:i/>
        </w:rPr>
        <w:t>Противопоказанием является детский возраст до 18 лет.  При приеме вориностата возможн</w:t>
      </w:r>
      <w:r w:rsidR="005530CE" w:rsidRPr="007D49C0">
        <w:rPr>
          <w:b w:val="0"/>
          <w:i/>
        </w:rPr>
        <w:t>о развитие</w:t>
      </w:r>
      <w:r w:rsidRPr="007D49C0">
        <w:rPr>
          <w:b w:val="0"/>
          <w:i/>
        </w:rPr>
        <w:t xml:space="preserve"> </w:t>
      </w:r>
      <w:r w:rsidR="005530CE" w:rsidRPr="007D49C0">
        <w:rPr>
          <w:b w:val="0"/>
          <w:i/>
        </w:rPr>
        <w:t xml:space="preserve">тромбоцитопении и анемии, </w:t>
      </w:r>
      <w:r w:rsidRPr="007D49C0">
        <w:rPr>
          <w:b w:val="0"/>
          <w:i/>
        </w:rPr>
        <w:t>которые могут потребовать прекращения приема препарата</w:t>
      </w:r>
      <w:r w:rsidR="005530CE" w:rsidRPr="007D49C0">
        <w:rPr>
          <w:b w:val="0"/>
          <w:i/>
        </w:rPr>
        <w:t xml:space="preserve"> или прекращения лечения</w:t>
      </w:r>
      <w:r w:rsidRPr="007D49C0">
        <w:rPr>
          <w:b w:val="0"/>
          <w:i/>
        </w:rPr>
        <w:t xml:space="preserve">. Возможно развитие лейкопении и нейтропении, требующих уменьшения дозы препарата. Отмечалось увеличение плазменной концентрации креатинина. </w:t>
      </w:r>
      <w:r w:rsidR="005530CE" w:rsidRPr="007D49C0">
        <w:rPr>
          <w:b w:val="0"/>
          <w:i/>
        </w:rPr>
        <w:lastRenderedPageBreak/>
        <w:t>Возможно также развитие г</w:t>
      </w:r>
      <w:r w:rsidRPr="007D49C0">
        <w:rPr>
          <w:b w:val="0"/>
          <w:i/>
        </w:rPr>
        <w:t>ипокалиеми</w:t>
      </w:r>
      <w:r w:rsidR="005530CE" w:rsidRPr="007D49C0">
        <w:rPr>
          <w:b w:val="0"/>
          <w:i/>
        </w:rPr>
        <w:t>и</w:t>
      </w:r>
      <w:r w:rsidRPr="007D49C0">
        <w:rPr>
          <w:b w:val="0"/>
          <w:i/>
        </w:rPr>
        <w:t xml:space="preserve"> и увеличени</w:t>
      </w:r>
      <w:r w:rsidR="005530CE" w:rsidRPr="007D49C0">
        <w:rPr>
          <w:b w:val="0"/>
          <w:i/>
        </w:rPr>
        <w:t>я</w:t>
      </w:r>
      <w:r w:rsidRPr="007D49C0">
        <w:rPr>
          <w:b w:val="0"/>
          <w:i/>
        </w:rPr>
        <w:t xml:space="preserve"> плазменной концентрации креатинина</w:t>
      </w:r>
      <w:r w:rsidR="005530CE" w:rsidRPr="007D49C0">
        <w:rPr>
          <w:b w:val="0"/>
          <w:i/>
        </w:rPr>
        <w:t>, что может</w:t>
      </w:r>
      <w:r w:rsidRPr="007D49C0">
        <w:rPr>
          <w:b w:val="0"/>
          <w:i/>
        </w:rPr>
        <w:t xml:space="preserve"> потребовать снижения дозы препарата. На фоне приема вориностата отмечались гипергликемия</w:t>
      </w:r>
      <w:r w:rsidR="005530CE" w:rsidRPr="007D49C0">
        <w:rPr>
          <w:b w:val="0"/>
          <w:i/>
        </w:rPr>
        <w:t>, в связи с чем может потребоваться назначение диеты и/или гипогликемической терапии. Возможно развитие протеинурии.</w:t>
      </w:r>
    </w:p>
    <w:p w:rsidR="00684E00" w:rsidRPr="007D49C0" w:rsidRDefault="00684E00" w:rsidP="00684E00">
      <w:pPr>
        <w:ind w:left="709" w:firstLine="0"/>
        <w:divId w:val="1767193717"/>
        <w:rPr>
          <w:b/>
          <w:szCs w:val="24"/>
        </w:rPr>
      </w:pPr>
      <w:r w:rsidRPr="007D49C0">
        <w:rPr>
          <w:rStyle w:val="affa"/>
          <w:b w:val="0"/>
        </w:rPr>
        <w:t>или</w:t>
      </w:r>
    </w:p>
    <w:p w:rsidR="00872BDA" w:rsidRPr="007D49C0" w:rsidRDefault="00872BDA" w:rsidP="000334CF">
      <w:pPr>
        <w:ind w:left="709" w:firstLine="0"/>
        <w:divId w:val="1767193717"/>
        <w:rPr>
          <w:szCs w:val="24"/>
        </w:rPr>
      </w:pPr>
      <w:r w:rsidRPr="007D49C0">
        <w:t>доксорубицин</w:t>
      </w:r>
      <w:r w:rsidR="00A011E7" w:rsidRPr="007D49C0">
        <w:t>**</w:t>
      </w:r>
      <w:r w:rsidR="001404A8" w:rsidRPr="007D49C0">
        <w:t xml:space="preserve"> </w:t>
      </w:r>
      <w:r w:rsidRPr="007D49C0">
        <w:rPr>
          <w:szCs w:val="24"/>
        </w:rPr>
        <w:t>20</w:t>
      </w:r>
      <w:r w:rsidR="00057A0B" w:rsidRPr="007D49C0">
        <w:rPr>
          <w:szCs w:val="24"/>
        </w:rPr>
        <w:t>–</w:t>
      </w:r>
      <w:r w:rsidRPr="007D49C0">
        <w:rPr>
          <w:szCs w:val="24"/>
        </w:rPr>
        <w:t>30 мг/м</w:t>
      </w:r>
      <w:r w:rsidRPr="007D49C0">
        <w:rPr>
          <w:szCs w:val="24"/>
          <w:vertAlign w:val="superscript"/>
        </w:rPr>
        <w:t>2</w:t>
      </w:r>
      <w:r w:rsidR="008F478F" w:rsidRPr="007D49C0">
        <w:rPr>
          <w:vertAlign w:val="superscript"/>
        </w:rPr>
        <w:t xml:space="preserve"> </w:t>
      </w:r>
      <w:r w:rsidR="008F6799" w:rsidRPr="007D49C0">
        <w:rPr>
          <w:szCs w:val="24"/>
        </w:rPr>
        <w:t>внутривенно</w:t>
      </w:r>
      <w:r w:rsidRPr="007D49C0">
        <w:rPr>
          <w:szCs w:val="24"/>
        </w:rPr>
        <w:t xml:space="preserve"> каждые 2</w:t>
      </w:r>
      <w:r w:rsidR="00057A0B" w:rsidRPr="007D49C0">
        <w:rPr>
          <w:szCs w:val="24"/>
        </w:rPr>
        <w:t>–</w:t>
      </w:r>
      <w:r w:rsidRPr="007D49C0">
        <w:rPr>
          <w:szCs w:val="24"/>
        </w:rPr>
        <w:t xml:space="preserve">4 недели </w:t>
      </w:r>
      <w:r w:rsidRPr="007D49C0">
        <w:t>[</w:t>
      </w:r>
      <w:r w:rsidR="00C1211E" w:rsidRPr="007D49C0">
        <w:t>7, 8, 36</w:t>
      </w:r>
      <w:r w:rsidR="00EE06C4" w:rsidRPr="007D49C0">
        <w:t xml:space="preserve">; </w:t>
      </w:r>
      <w:r w:rsidR="00C1211E" w:rsidRPr="007D49C0">
        <w:rPr>
          <w:szCs w:val="24"/>
        </w:rPr>
        <w:t>4</w:t>
      </w:r>
      <w:r w:rsidR="004C455B" w:rsidRPr="007D49C0">
        <w:rPr>
          <w:szCs w:val="24"/>
        </w:rPr>
        <w:t>3</w:t>
      </w:r>
      <w:r w:rsidRPr="007D49C0">
        <w:t>]</w:t>
      </w:r>
    </w:p>
    <w:p w:rsidR="00684E00" w:rsidRPr="007D49C0" w:rsidRDefault="00297C27" w:rsidP="00872BDA">
      <w:pPr>
        <w:pStyle w:val="aff1"/>
        <w:divId w:val="1767193717"/>
      </w:pPr>
      <w:r w:rsidRPr="007D49C0">
        <w:rPr>
          <w:rStyle w:val="affa"/>
          <w:b/>
        </w:rPr>
        <w:t xml:space="preserve">Уровень убедительности рекомендаций </w:t>
      </w:r>
      <w:r w:rsidRPr="007D49C0">
        <w:rPr>
          <w:rStyle w:val="affa"/>
          <w:b/>
        </w:rPr>
        <w:softHyphen/>
        <w:t>С</w:t>
      </w:r>
      <w:r w:rsidRPr="007D49C0">
        <w:t xml:space="preserve"> (уровень достоверности доказательств – </w:t>
      </w:r>
      <w:r w:rsidR="00C263E5" w:rsidRPr="007D49C0">
        <w:t>5</w:t>
      </w:r>
      <w:r w:rsidRPr="007D49C0">
        <w:t>)</w:t>
      </w:r>
    </w:p>
    <w:p w:rsidR="00D74783" w:rsidRPr="007D49C0" w:rsidRDefault="00D74783" w:rsidP="00872BDA">
      <w:pPr>
        <w:pStyle w:val="aff1"/>
        <w:divId w:val="1767193717"/>
        <w:rPr>
          <w:b w:val="0"/>
        </w:rPr>
      </w:pPr>
      <w:r w:rsidRPr="007D49C0">
        <w:t xml:space="preserve">Комментарии: </w:t>
      </w:r>
      <w:r w:rsidR="008C2A15" w:rsidRPr="007D49C0">
        <w:rPr>
          <w:b w:val="0"/>
          <w:i/>
        </w:rPr>
        <w:t>С</w:t>
      </w:r>
      <w:r w:rsidRPr="007D49C0">
        <w:rPr>
          <w:b w:val="0"/>
          <w:i/>
        </w:rPr>
        <w:t>ледует учитывать и контролировать нежелательные явления, которые могут возникнуть во время терапии доксорубицином</w:t>
      </w:r>
      <w:r w:rsidR="001225F3" w:rsidRPr="007D49C0">
        <w:rPr>
          <w:b w:val="0"/>
          <w:i/>
        </w:rPr>
        <w:t>, – лейкопения, нейтропения, тромбоцитопения и анемия,</w:t>
      </w:r>
      <w:r w:rsidR="001225F3" w:rsidRPr="007D49C0">
        <w:rPr>
          <w:rFonts w:eastAsia="SimSun"/>
          <w:b w:val="0"/>
          <w:color w:val="00000A"/>
          <w:kern w:val="1"/>
        </w:rPr>
        <w:t xml:space="preserve"> </w:t>
      </w:r>
      <w:r w:rsidR="001225F3" w:rsidRPr="007D49C0">
        <w:rPr>
          <w:b w:val="0"/>
          <w:i/>
        </w:rPr>
        <w:t>повышение активности «печеночных» трансаминаз, гипербилирубинемия. токсическое поражение сердца. Для снижения риска тяжелого токсического поражения сердца рекомендуется до начала и во время терапии доксорубицином проводить регулярный контроль кардиальных функций, включая оценку фракции выброса левого желудочка с помощью эхокардиографии или многоканальной радиоизотопной ангиографии, а также ЭКГ-контроль. Редким нежелательным явлением терапии доксорубицином является острая почечная недостаточность</w:t>
      </w:r>
    </w:p>
    <w:p w:rsidR="00314152" w:rsidRPr="007D49C0" w:rsidRDefault="001E1A9A" w:rsidP="00314152">
      <w:pPr>
        <w:pStyle w:val="aff1"/>
        <w:divId w:val="1767193717"/>
        <w:rPr>
          <w:b w:val="0"/>
        </w:rPr>
      </w:pPr>
      <w:r w:rsidRPr="007D49C0">
        <w:rPr>
          <w:b w:val="0"/>
        </w:rPr>
        <w:t>или</w:t>
      </w:r>
    </w:p>
    <w:p w:rsidR="001E1A9A" w:rsidRPr="007D49C0" w:rsidRDefault="00DE7BBA" w:rsidP="001E1A9A">
      <w:pPr>
        <w:pStyle w:val="aff1"/>
        <w:divId w:val="1767193717"/>
        <w:rPr>
          <w:b w:val="0"/>
        </w:rPr>
      </w:pPr>
      <w:r w:rsidRPr="007D49C0">
        <w:rPr>
          <w:b w:val="0"/>
        </w:rPr>
        <w:t>#</w:t>
      </w:r>
      <w:proofErr w:type="spellStart"/>
      <w:r w:rsidR="001E1A9A" w:rsidRPr="007D49C0">
        <w:rPr>
          <w:b w:val="0"/>
        </w:rPr>
        <w:t>гемцитабин</w:t>
      </w:r>
      <w:proofErr w:type="spellEnd"/>
      <w:r w:rsidR="00A011E7" w:rsidRPr="007D49C0">
        <w:rPr>
          <w:b w:val="0"/>
        </w:rPr>
        <w:t>**</w:t>
      </w:r>
      <w:r w:rsidR="001E1A9A" w:rsidRPr="007D49C0">
        <w:rPr>
          <w:b w:val="0"/>
        </w:rPr>
        <w:t xml:space="preserve"> 1200 мг/м</w:t>
      </w:r>
      <w:proofErr w:type="gramStart"/>
      <w:r w:rsidR="001E1A9A" w:rsidRPr="007D49C0">
        <w:rPr>
          <w:b w:val="0"/>
          <w:vertAlign w:val="superscript"/>
        </w:rPr>
        <w:t>2</w:t>
      </w:r>
      <w:proofErr w:type="gramEnd"/>
      <w:r w:rsidR="001E1A9A" w:rsidRPr="007D49C0">
        <w:rPr>
          <w:b w:val="0"/>
        </w:rPr>
        <w:t xml:space="preserve"> в 1, 8 и 15 день 28-дневного цикла (3</w:t>
      </w:r>
      <w:r w:rsidR="001E1A9A" w:rsidRPr="007D49C0">
        <w:t>–</w:t>
      </w:r>
      <w:r w:rsidR="001E1A9A" w:rsidRPr="007D49C0">
        <w:rPr>
          <w:b w:val="0"/>
        </w:rPr>
        <w:t>6 курсов) [</w:t>
      </w:r>
      <w:r w:rsidR="00C1211E" w:rsidRPr="007D49C0">
        <w:rPr>
          <w:b w:val="0"/>
        </w:rPr>
        <w:t>7, 8, 36; 4</w:t>
      </w:r>
      <w:r w:rsidR="004C455B" w:rsidRPr="007D49C0">
        <w:rPr>
          <w:b w:val="0"/>
        </w:rPr>
        <w:t>3</w:t>
      </w:r>
      <w:r w:rsidR="001E1A9A" w:rsidRPr="007D49C0">
        <w:rPr>
          <w:b w:val="0"/>
        </w:rPr>
        <w:t xml:space="preserve">]. </w:t>
      </w:r>
    </w:p>
    <w:p w:rsidR="00E90536" w:rsidRDefault="00DE7BBA" w:rsidP="001E1A9A">
      <w:pPr>
        <w:pStyle w:val="aff1"/>
        <w:divId w:val="1767193717"/>
      </w:pPr>
      <w:r w:rsidRPr="007D49C0">
        <w:rPr>
          <w:rStyle w:val="affa"/>
          <w:b/>
        </w:rPr>
        <w:t>Уровень убедительности рекомендаций</w:t>
      </w:r>
      <w:r w:rsidRPr="007D49C0">
        <w:rPr>
          <w:rStyle w:val="affa"/>
          <w:b/>
        </w:rPr>
        <w:softHyphen/>
        <w:t xml:space="preserve"> С</w:t>
      </w:r>
      <w:r w:rsidRPr="007D49C0">
        <w:t xml:space="preserve"> </w:t>
      </w:r>
      <w:r w:rsidR="00297C27" w:rsidRPr="007D49C0">
        <w:t xml:space="preserve">(уровень достоверности доказательств – </w:t>
      </w:r>
      <w:r w:rsidR="00C263E5" w:rsidRPr="007D49C0">
        <w:t>5</w:t>
      </w:r>
      <w:r w:rsidR="00297C27" w:rsidRPr="007D49C0">
        <w:t>)</w:t>
      </w:r>
    </w:p>
    <w:p w:rsidR="006D29B6" w:rsidRDefault="006D29B6" w:rsidP="006D29B6">
      <w:pPr>
        <w:pStyle w:val="afff9"/>
        <w:divId w:val="1767193717"/>
        <w:rPr>
          <w:rStyle w:val="affa"/>
          <w:b/>
        </w:rPr>
      </w:pPr>
      <w:r>
        <w:rPr>
          <w:rStyle w:val="affa"/>
          <w:b/>
        </w:rPr>
        <w:t xml:space="preserve">или </w:t>
      </w:r>
    </w:p>
    <w:p w:rsidR="006D29B6" w:rsidRDefault="006D29B6" w:rsidP="006D29B6">
      <w:pPr>
        <w:pStyle w:val="afff9"/>
        <w:divId w:val="1767193717"/>
      </w:pPr>
      <w:proofErr w:type="spellStart"/>
      <w:r>
        <w:t>гемцитабин</w:t>
      </w:r>
      <w:proofErr w:type="spellEnd"/>
      <w:r>
        <w:t xml:space="preserve"> в малых дозах </w:t>
      </w:r>
      <w:r w:rsidRPr="00415E00">
        <w:t xml:space="preserve"> с продолжительной </w:t>
      </w:r>
      <w:proofErr w:type="spellStart"/>
      <w:r w:rsidRPr="00415E00">
        <w:t>инфузией</w:t>
      </w:r>
      <w:proofErr w:type="spellEnd"/>
      <w:r w:rsidRPr="00415E00">
        <w:t xml:space="preserve"> в дозе 250 мг/м2 в течение 6 часов 1 раз в неделю</w:t>
      </w:r>
      <w:r>
        <w:t xml:space="preserve"> </w:t>
      </w:r>
      <w:proofErr w:type="gramStart"/>
      <w:r w:rsidRPr="00DA652B">
        <w:t>[</w:t>
      </w:r>
      <w:r>
        <w:t xml:space="preserve"> </w:t>
      </w:r>
      <w:proofErr w:type="gramEnd"/>
      <w:r>
        <w:t xml:space="preserve">55 </w:t>
      </w:r>
      <w:r w:rsidRPr="00DA652B">
        <w:t>]</w:t>
      </w:r>
    </w:p>
    <w:p w:rsidR="006D29B6" w:rsidRPr="00CB481F" w:rsidRDefault="006D29B6" w:rsidP="006D29B6">
      <w:pPr>
        <w:pStyle w:val="aff1"/>
        <w:divId w:val="1767193717"/>
      </w:pPr>
      <w:r>
        <w:rPr>
          <w:rStyle w:val="affa"/>
          <w:b/>
        </w:rPr>
        <w:t>Уровень убедительности рекомендаций С (уровень достоверности доказательств –4)</w:t>
      </w:r>
    </w:p>
    <w:p w:rsidR="008C2A15" w:rsidRPr="008C2A15" w:rsidRDefault="008C2A15" w:rsidP="001E1A9A">
      <w:pPr>
        <w:pStyle w:val="aff1"/>
        <w:divId w:val="1767193717"/>
        <w:rPr>
          <w:b w:val="0"/>
          <w:i/>
        </w:rPr>
      </w:pPr>
      <w:r w:rsidRPr="00CB481F">
        <w:t xml:space="preserve">Комментарии: </w:t>
      </w:r>
      <w:r w:rsidRPr="00CB481F">
        <w:rPr>
          <w:b w:val="0"/>
          <w:i/>
        </w:rPr>
        <w:t xml:space="preserve">Следует </w:t>
      </w:r>
      <w:proofErr w:type="gramStart"/>
      <w:r w:rsidRPr="00CB481F">
        <w:rPr>
          <w:b w:val="0"/>
          <w:i/>
        </w:rPr>
        <w:t>учитывать и контролировать</w:t>
      </w:r>
      <w:proofErr w:type="gramEnd"/>
      <w:r w:rsidRPr="00CB481F">
        <w:rPr>
          <w:b w:val="0"/>
          <w:i/>
        </w:rPr>
        <w:t xml:space="preserve"> нежелательные явления, которые могут возникнуть во время терапии гемцитабином, –</w:t>
      </w:r>
      <w:r>
        <w:rPr>
          <w:b w:val="0"/>
          <w:i/>
        </w:rPr>
        <w:t xml:space="preserve"> </w:t>
      </w:r>
      <w:r w:rsidRPr="008C2A15">
        <w:rPr>
          <w:b w:val="0"/>
          <w:i/>
        </w:rPr>
        <w:t>лейкопения (миелосупрессия обычно имеет легкую или умеренную степень и проявляется главным образом изменением концентрации гранулоцитов), тромбоцитопения, анемия</w:t>
      </w:r>
      <w:r>
        <w:rPr>
          <w:b w:val="0"/>
          <w:i/>
        </w:rPr>
        <w:t>, ч</w:t>
      </w:r>
      <w:r w:rsidRPr="008C2A15">
        <w:rPr>
          <w:b w:val="0"/>
          <w:i/>
        </w:rPr>
        <w:t>асто — фебрильная нейтропения</w:t>
      </w:r>
      <w:r>
        <w:rPr>
          <w:b w:val="0"/>
          <w:i/>
        </w:rPr>
        <w:t>, оч</w:t>
      </w:r>
      <w:r w:rsidRPr="008C2A15">
        <w:rPr>
          <w:b w:val="0"/>
          <w:i/>
        </w:rPr>
        <w:t>ень редко — тромбоцитоз</w:t>
      </w:r>
      <w:r>
        <w:rPr>
          <w:b w:val="0"/>
          <w:i/>
        </w:rPr>
        <w:t xml:space="preserve">. </w:t>
      </w:r>
      <w:r>
        <w:rPr>
          <w:b w:val="0"/>
          <w:i/>
        </w:rPr>
        <w:lastRenderedPageBreak/>
        <w:t xml:space="preserve">Возможно гепатотоксическое действие, проявляющееся </w:t>
      </w:r>
      <w:r w:rsidRPr="008C2A15">
        <w:rPr>
          <w:b w:val="0"/>
          <w:i/>
        </w:rPr>
        <w:t>повышение</w:t>
      </w:r>
      <w:r>
        <w:rPr>
          <w:b w:val="0"/>
          <w:i/>
        </w:rPr>
        <w:t>м</w:t>
      </w:r>
      <w:r w:rsidRPr="008C2A15">
        <w:rPr>
          <w:b w:val="0"/>
          <w:i/>
        </w:rPr>
        <w:t xml:space="preserve"> активности «печеночных» трансаминаз и щелочной фосфатазы</w:t>
      </w:r>
      <w:r>
        <w:rPr>
          <w:b w:val="0"/>
          <w:i/>
        </w:rPr>
        <w:t>,</w:t>
      </w:r>
      <w:r w:rsidRPr="008C2A15">
        <w:rPr>
          <w:b w:val="0"/>
          <w:i/>
        </w:rPr>
        <w:t xml:space="preserve"> повышение</w:t>
      </w:r>
      <w:r>
        <w:rPr>
          <w:b w:val="0"/>
          <w:i/>
        </w:rPr>
        <w:t>м</w:t>
      </w:r>
      <w:r w:rsidRPr="008C2A15">
        <w:rPr>
          <w:b w:val="0"/>
          <w:i/>
        </w:rPr>
        <w:t xml:space="preserve"> концентрации билирубина</w:t>
      </w:r>
      <w:r>
        <w:rPr>
          <w:b w:val="0"/>
          <w:i/>
        </w:rPr>
        <w:t>, н</w:t>
      </w:r>
      <w:r w:rsidRPr="008C2A15">
        <w:rPr>
          <w:b w:val="0"/>
          <w:i/>
        </w:rPr>
        <w:t xml:space="preserve">ечасто </w:t>
      </w:r>
      <w:r>
        <w:rPr>
          <w:b w:val="0"/>
          <w:i/>
        </w:rPr>
        <w:t>– с развитием</w:t>
      </w:r>
      <w:r w:rsidRPr="008C2A15">
        <w:rPr>
          <w:b w:val="0"/>
          <w:i/>
        </w:rPr>
        <w:t xml:space="preserve"> печеночн</w:t>
      </w:r>
      <w:r>
        <w:rPr>
          <w:b w:val="0"/>
          <w:i/>
        </w:rPr>
        <w:t>ой недостаточности</w:t>
      </w:r>
      <w:r w:rsidRPr="008C2A15">
        <w:rPr>
          <w:b w:val="0"/>
          <w:i/>
        </w:rPr>
        <w:t xml:space="preserve"> и смерт</w:t>
      </w:r>
      <w:r>
        <w:rPr>
          <w:b w:val="0"/>
          <w:i/>
        </w:rPr>
        <w:t>и. Нежелательные явления с</w:t>
      </w:r>
      <w:r w:rsidRPr="008C2A15">
        <w:rPr>
          <w:b w:val="0"/>
          <w:i/>
        </w:rPr>
        <w:t>о стороны мочеполовой системы</w:t>
      </w:r>
      <w:r>
        <w:rPr>
          <w:b w:val="0"/>
          <w:i/>
        </w:rPr>
        <w:t xml:space="preserve"> очень часто –</w:t>
      </w:r>
      <w:r w:rsidRPr="008C2A15">
        <w:rPr>
          <w:b w:val="0"/>
          <w:i/>
        </w:rPr>
        <w:t xml:space="preserve"> гематурия, протеинурия легкой степени</w:t>
      </w:r>
      <w:r>
        <w:rPr>
          <w:b w:val="0"/>
          <w:i/>
        </w:rPr>
        <w:t>, часто</w:t>
      </w:r>
      <w:r w:rsidRPr="008C2A15">
        <w:rPr>
          <w:b w:val="0"/>
          <w:i/>
        </w:rPr>
        <w:t xml:space="preserve"> — острая почечная недостаточность, гемолитический уремический синдром</w:t>
      </w:r>
      <w:r>
        <w:rPr>
          <w:b w:val="0"/>
          <w:i/>
        </w:rPr>
        <w:t>.</w:t>
      </w:r>
    </w:p>
    <w:p w:rsidR="008F478F" w:rsidRPr="007D49C0" w:rsidRDefault="001A5CB2" w:rsidP="000334CF">
      <w:pPr>
        <w:pStyle w:val="afff7"/>
        <w:divId w:val="1767193717"/>
      </w:pPr>
      <w:r w:rsidRPr="007D49C0">
        <w:rPr>
          <w:b/>
        </w:rPr>
        <w:t>Рекоменду</w:t>
      </w:r>
      <w:r w:rsidR="008F478F" w:rsidRPr="007D49C0">
        <w:rPr>
          <w:b/>
        </w:rPr>
        <w:t>е</w:t>
      </w:r>
      <w:r w:rsidRPr="007D49C0">
        <w:rPr>
          <w:b/>
        </w:rPr>
        <w:t>тся</w:t>
      </w:r>
      <w:r w:rsidRPr="007D49C0">
        <w:t xml:space="preserve"> </w:t>
      </w:r>
      <w:r w:rsidR="00D01F66" w:rsidRPr="007D49C0">
        <w:t xml:space="preserve">пациентам 18 лет и старше </w:t>
      </w:r>
      <w:r w:rsidRPr="007D49C0">
        <w:t xml:space="preserve">при отсутствии или недостаточном эффекте </w:t>
      </w:r>
      <w:r w:rsidRPr="007D49C0">
        <w:rPr>
          <w:szCs w:val="24"/>
        </w:rPr>
        <w:t xml:space="preserve">после минимум одной линии предшествующей системной </w:t>
      </w:r>
      <w:r w:rsidR="0055709B" w:rsidRPr="007D49C0">
        <w:rPr>
          <w:szCs w:val="24"/>
        </w:rPr>
        <w:t>терапии</w:t>
      </w:r>
      <w:r w:rsidR="0055709B" w:rsidRPr="007D49C0">
        <w:t xml:space="preserve"> </w:t>
      </w:r>
      <w:r w:rsidRPr="007D49C0">
        <w:t xml:space="preserve">и </w:t>
      </w:r>
      <w:r w:rsidR="00011901" w:rsidRPr="007D49C0">
        <w:t>наличии экспрессии</w:t>
      </w:r>
      <w:r w:rsidRPr="007D49C0">
        <w:t xml:space="preserve"> CD30 + антигена</w:t>
      </w:r>
      <w:r w:rsidR="008F478F" w:rsidRPr="007D49C0">
        <w:t>:</w:t>
      </w:r>
    </w:p>
    <w:p w:rsidR="001A5CB2" w:rsidRPr="007D49C0" w:rsidRDefault="001A5CB2" w:rsidP="00305BCA">
      <w:pPr>
        <w:pStyle w:val="afd"/>
        <w:ind w:left="709" w:firstLine="0"/>
        <w:divId w:val="1767193717"/>
      </w:pPr>
      <w:r w:rsidRPr="007D49C0">
        <w:t>брентуксимаб ведотин</w:t>
      </w:r>
      <w:r w:rsidR="00805285" w:rsidRPr="007D49C0">
        <w:t>**</w:t>
      </w:r>
      <w:r w:rsidRPr="007D49C0">
        <w:t xml:space="preserve"> в дозе 1,8 мг/кг внутривенно каждый 21 день. Лечение проводят в течение 8 циклов, при достижении частичного ответа допускается проведение еще 8 циклов</w:t>
      </w:r>
      <w:r w:rsidR="00EE06C4" w:rsidRPr="007D49C0">
        <w:t xml:space="preserve"> </w:t>
      </w:r>
      <w:r w:rsidRPr="007D49C0">
        <w:t>[</w:t>
      </w:r>
      <w:r w:rsidR="008B3674" w:rsidRPr="007D49C0">
        <w:t>31</w:t>
      </w:r>
      <w:r w:rsidRPr="007D49C0">
        <w:t>]</w:t>
      </w:r>
    </w:p>
    <w:p w:rsidR="001A5CB2" w:rsidRPr="001A5CB2" w:rsidRDefault="00297C27" w:rsidP="001A5CB2">
      <w:pPr>
        <w:ind w:left="709" w:firstLine="0"/>
        <w:divId w:val="1767193717"/>
        <w:rPr>
          <w:b/>
        </w:rPr>
      </w:pPr>
      <w:r w:rsidRPr="007D49C0">
        <w:rPr>
          <w:rStyle w:val="affa"/>
        </w:rPr>
        <w:t>Уровень убедительности рекомендаций</w:t>
      </w:r>
      <w:r w:rsidRPr="007D49C0">
        <w:rPr>
          <w:rStyle w:val="affa"/>
        </w:rPr>
        <w:softHyphen/>
        <w:t xml:space="preserve"> С</w:t>
      </w:r>
      <w:r w:rsidR="001A6D3E" w:rsidRPr="007D49C0">
        <w:rPr>
          <w:rStyle w:val="affa"/>
        </w:rPr>
        <w:t xml:space="preserve"> </w:t>
      </w:r>
      <w:r w:rsidRPr="007D49C0">
        <w:rPr>
          <w:b/>
        </w:rPr>
        <w:t xml:space="preserve">(уровень достоверности доказательств – </w:t>
      </w:r>
      <w:r w:rsidR="00C263E5" w:rsidRPr="007D49C0">
        <w:rPr>
          <w:b/>
        </w:rPr>
        <w:t>4</w:t>
      </w:r>
      <w:r w:rsidRPr="007D49C0">
        <w:rPr>
          <w:b/>
        </w:rPr>
        <w:t>)</w:t>
      </w:r>
    </w:p>
    <w:p w:rsidR="001A5CB2" w:rsidRPr="001A5CB2" w:rsidRDefault="001A5CB2" w:rsidP="001A5CB2">
      <w:pPr>
        <w:ind w:left="709" w:firstLine="0"/>
        <w:divId w:val="1767193717"/>
        <w:rPr>
          <w:rStyle w:val="affa"/>
        </w:rPr>
      </w:pPr>
      <w:r w:rsidRPr="001A5CB2">
        <w:rPr>
          <w:b/>
          <w:szCs w:val="24"/>
        </w:rPr>
        <w:t>Комментарии:</w:t>
      </w:r>
      <w:r w:rsidR="00EE06C4" w:rsidRPr="00305BCA">
        <w:rPr>
          <w:b/>
        </w:rPr>
        <w:t xml:space="preserve"> </w:t>
      </w:r>
      <w:r w:rsidR="00D72029" w:rsidRPr="00D72029">
        <w:rPr>
          <w:b/>
        </w:rPr>
        <w:t>При достижении постепенного клинического разрешения возможно продолжение терапии в сниженной дозе 1,2 мг/кг массы тела</w:t>
      </w:r>
      <w:proofErr w:type="gramStart"/>
      <w:r w:rsidR="00D72029" w:rsidRPr="00D72029">
        <w:rPr>
          <w:b/>
        </w:rPr>
        <w:t xml:space="preserve"> </w:t>
      </w:r>
      <w:r w:rsidR="00222CBB" w:rsidRPr="00222CBB">
        <w:rPr>
          <w:b/>
        </w:rPr>
        <w:t>.</w:t>
      </w:r>
      <w:proofErr w:type="gramEnd"/>
      <w:r w:rsidR="00222CBB" w:rsidRPr="00222CBB">
        <w:rPr>
          <w:b/>
        </w:rPr>
        <w:t xml:space="preserve"> </w:t>
      </w:r>
      <w:r w:rsidRPr="001A5CB2">
        <w:rPr>
          <w:i/>
          <w:szCs w:val="24"/>
        </w:rPr>
        <w:t xml:space="preserve">При появлении побочных эффектов (наиболее часто – периферическая </w:t>
      </w:r>
      <w:proofErr w:type="spellStart"/>
      <w:r w:rsidRPr="001A5CB2">
        <w:rPr>
          <w:i/>
          <w:szCs w:val="24"/>
        </w:rPr>
        <w:t>полинейропатия</w:t>
      </w:r>
      <w:proofErr w:type="spellEnd"/>
      <w:r w:rsidRPr="001A5CB2">
        <w:rPr>
          <w:i/>
          <w:szCs w:val="24"/>
        </w:rPr>
        <w:t>)</w:t>
      </w:r>
      <w:r w:rsidR="00D72029">
        <w:rPr>
          <w:i/>
          <w:szCs w:val="24"/>
        </w:rPr>
        <w:t>,</w:t>
      </w:r>
      <w:r w:rsidRPr="001A5CB2">
        <w:rPr>
          <w:i/>
          <w:szCs w:val="24"/>
        </w:rPr>
        <w:t xml:space="preserve"> допустимо снижение дозы до 1,2 мг/кг и увеличение интервала между циклами.</w:t>
      </w:r>
      <w:r w:rsidR="0023617B" w:rsidRPr="00305BCA">
        <w:rPr>
          <w:i/>
        </w:rPr>
        <w:t xml:space="preserve"> </w:t>
      </w:r>
      <w:r w:rsidR="0023617B" w:rsidRPr="0023617B">
        <w:rPr>
          <w:i/>
          <w:szCs w:val="24"/>
        </w:rPr>
        <w:t>При лечении брентуксимабом ведотином может развиться анемия, тромбоцитопения и тяжелая пролонгированная (≥1 недели) нейтропения, и это может увеличить риск тяжелых инфекций.</w:t>
      </w:r>
      <w:r w:rsidR="0023617B">
        <w:rPr>
          <w:i/>
          <w:szCs w:val="24"/>
        </w:rPr>
        <w:t xml:space="preserve"> </w:t>
      </w:r>
      <w:r w:rsidR="0023617B" w:rsidRPr="0023617B">
        <w:rPr>
          <w:i/>
          <w:szCs w:val="24"/>
        </w:rPr>
        <w:t>Были зарегистрированы случаи повышения уровней аланинаминотрансферазы и аспартатаминотрансферазы.</w:t>
      </w:r>
      <w:r w:rsidR="0023617B">
        <w:rPr>
          <w:i/>
          <w:szCs w:val="24"/>
        </w:rPr>
        <w:t xml:space="preserve"> </w:t>
      </w:r>
      <w:r w:rsidR="0023617B" w:rsidRPr="0023617B">
        <w:rPr>
          <w:i/>
          <w:szCs w:val="24"/>
        </w:rPr>
        <w:t>Гипергликемия была зарегистрирована в клинических исследованиях у пациентов с увеличенным индексом массы тела, как с наличием, так и с отсутствием сахарного диабета в анамнезе.</w:t>
      </w:r>
    </w:p>
    <w:p w:rsidR="004E1288" w:rsidRPr="00A86E5F" w:rsidRDefault="004E1288" w:rsidP="00B104EF">
      <w:pPr>
        <w:pStyle w:val="2"/>
        <w:divId w:val="1767193717"/>
        <w:rPr>
          <w:rFonts w:eastAsia="Times New Roman"/>
        </w:rPr>
      </w:pPr>
      <w:bookmarkStart w:id="51" w:name="_Toc36831356"/>
      <w:r w:rsidRPr="004E1288">
        <w:rPr>
          <w:rFonts w:eastAsia="Times New Roman"/>
        </w:rPr>
        <w:t>3.</w:t>
      </w:r>
      <w:r w:rsidR="00C66DBC">
        <w:rPr>
          <w:rFonts w:eastAsia="Times New Roman"/>
        </w:rPr>
        <w:t>2</w:t>
      </w:r>
      <w:r w:rsidR="006D569C">
        <w:rPr>
          <w:rFonts w:eastAsia="Times New Roman"/>
          <w:lang w:val="en-US"/>
        </w:rPr>
        <w:t xml:space="preserve"> </w:t>
      </w:r>
      <w:r w:rsidR="00C66DBC">
        <w:rPr>
          <w:rFonts w:eastAsia="Times New Roman"/>
        </w:rPr>
        <w:t>Хирургическое лечение</w:t>
      </w:r>
      <w:bookmarkEnd w:id="51"/>
    </w:p>
    <w:p w:rsidR="006425FF" w:rsidRPr="007D49C0" w:rsidRDefault="00C66DBC" w:rsidP="00507B01">
      <w:pPr>
        <w:pStyle w:val="1"/>
        <w:ind w:hanging="709"/>
        <w:divId w:val="1767193717"/>
        <w:rPr>
          <w:b/>
        </w:rPr>
      </w:pPr>
      <w:r w:rsidRPr="007D49C0">
        <w:rPr>
          <w:b/>
          <w:szCs w:val="24"/>
        </w:rPr>
        <w:t>Рекомендуется</w:t>
      </w:r>
      <w:r w:rsidR="007D0B2F" w:rsidRPr="007D49C0">
        <w:t xml:space="preserve"> пациентам моложе 60 лет при агрессивном течении СС </w:t>
      </w:r>
      <w:r w:rsidR="007D0B2F" w:rsidRPr="007D49C0">
        <w:rPr>
          <w:szCs w:val="24"/>
        </w:rPr>
        <w:t xml:space="preserve">и при отсутствии эффекта от стандартных режимов терапии </w:t>
      </w:r>
      <w:r w:rsidR="007D0B2F" w:rsidRPr="007D49C0">
        <w:t xml:space="preserve">при условии достижения частичной или полной ремиссии на </w:t>
      </w:r>
      <w:proofErr w:type="spellStart"/>
      <w:r w:rsidR="007D0B2F" w:rsidRPr="007D49C0">
        <w:t>предтрансплантационном</w:t>
      </w:r>
      <w:proofErr w:type="spellEnd"/>
      <w:r w:rsidR="007D0B2F" w:rsidRPr="007D49C0">
        <w:t xml:space="preserve"> этапе</w:t>
      </w:r>
      <w:r w:rsidR="00D72029" w:rsidRPr="007D49C0">
        <w:t>,</w:t>
      </w:r>
      <w:r w:rsidR="001A6D3E" w:rsidRPr="007D49C0">
        <w:rPr>
          <w:b/>
        </w:rPr>
        <w:t xml:space="preserve"> </w:t>
      </w:r>
      <w:proofErr w:type="spellStart"/>
      <w:r w:rsidR="00CE03FB" w:rsidRPr="007D49C0">
        <w:rPr>
          <w:szCs w:val="24"/>
        </w:rPr>
        <w:t>аллогенная</w:t>
      </w:r>
      <w:proofErr w:type="spellEnd"/>
      <w:r w:rsidR="00CE03FB" w:rsidRPr="007D49C0">
        <w:rPr>
          <w:szCs w:val="24"/>
        </w:rPr>
        <w:t xml:space="preserve"> трансплантация костного мозга </w:t>
      </w:r>
      <w:r w:rsidRPr="007D49C0">
        <w:rPr>
          <w:szCs w:val="24"/>
        </w:rPr>
        <w:t xml:space="preserve">при агрессивном течении синдрома </w:t>
      </w:r>
      <w:proofErr w:type="spellStart"/>
      <w:r w:rsidRPr="007D49C0">
        <w:rPr>
          <w:szCs w:val="24"/>
        </w:rPr>
        <w:t>Сезари</w:t>
      </w:r>
      <w:proofErr w:type="spellEnd"/>
      <w:r w:rsidRPr="007D49C0">
        <w:rPr>
          <w:szCs w:val="24"/>
        </w:rPr>
        <w:t xml:space="preserve"> </w:t>
      </w:r>
      <w:r w:rsidRPr="007D49C0">
        <w:t>[</w:t>
      </w:r>
      <w:r w:rsidR="00A011E7" w:rsidRPr="007D49C0">
        <w:t>44–47</w:t>
      </w:r>
      <w:r w:rsidRPr="007D49C0">
        <w:t>]</w:t>
      </w:r>
      <w:r w:rsidRPr="007D49C0">
        <w:rPr>
          <w:szCs w:val="24"/>
        </w:rPr>
        <w:t>.</w:t>
      </w:r>
    </w:p>
    <w:p w:rsidR="006425FF" w:rsidRPr="007D49C0" w:rsidRDefault="00297C27" w:rsidP="006425FF">
      <w:pPr>
        <w:pStyle w:val="aff1"/>
        <w:divId w:val="1767193717"/>
      </w:pPr>
      <w:r w:rsidRPr="007D49C0">
        <w:t xml:space="preserve">Уровень убедительности рекомендаций С (уровень достоверности доказательств – </w:t>
      </w:r>
      <w:r w:rsidR="00507B01" w:rsidRPr="007D49C0">
        <w:t>4</w:t>
      </w:r>
      <w:r w:rsidRPr="007D49C0">
        <w:t>)</w:t>
      </w:r>
    </w:p>
    <w:p w:rsidR="006425FF" w:rsidRPr="007D49C0" w:rsidRDefault="006425FF" w:rsidP="006425FF">
      <w:pPr>
        <w:pStyle w:val="aff1"/>
        <w:divId w:val="1767193717"/>
      </w:pPr>
      <w:r w:rsidRPr="007D49C0">
        <w:lastRenderedPageBreak/>
        <w:t xml:space="preserve">Комментарии: </w:t>
      </w:r>
      <w:r w:rsidR="00C66DBC" w:rsidRPr="007D49C0">
        <w:rPr>
          <w:b w:val="0"/>
          <w:i/>
        </w:rPr>
        <w:t>Использование</w:t>
      </w:r>
      <w:r w:rsidR="00EE06C4" w:rsidRPr="007D49C0">
        <w:rPr>
          <w:b w:val="0"/>
          <w:i/>
        </w:rPr>
        <w:t xml:space="preserve"> </w:t>
      </w:r>
      <w:r w:rsidR="00C66DBC" w:rsidRPr="007D49C0">
        <w:rPr>
          <w:b w:val="0"/>
          <w:i/>
        </w:rPr>
        <w:t>аллогенной трансплантации костного мозга не проводится пациентам пожилого возраста.</w:t>
      </w:r>
    </w:p>
    <w:p w:rsidR="004E1288" w:rsidRPr="007D49C0" w:rsidRDefault="004E1288" w:rsidP="006425FF">
      <w:pPr>
        <w:pStyle w:val="2"/>
        <w:divId w:val="1767193717"/>
      </w:pPr>
      <w:bookmarkStart w:id="52" w:name="_Toc36831357"/>
      <w:bookmarkStart w:id="53" w:name="_Toc34301090"/>
      <w:r w:rsidRPr="007D49C0">
        <w:t>3.</w:t>
      </w:r>
      <w:r w:rsidR="00C66DBC" w:rsidRPr="007D49C0">
        <w:t>3</w:t>
      </w:r>
      <w:r w:rsidRPr="007D49C0">
        <w:t xml:space="preserve"> Иное лечение</w:t>
      </w:r>
      <w:bookmarkEnd w:id="52"/>
      <w:bookmarkEnd w:id="53"/>
    </w:p>
    <w:p w:rsidR="00C46BCF" w:rsidRPr="007D49C0" w:rsidRDefault="00C46BCF" w:rsidP="007F7E90">
      <w:pPr>
        <w:pStyle w:val="afff7"/>
        <w:divId w:val="1767193717"/>
      </w:pPr>
      <w:r w:rsidRPr="007D49C0">
        <w:t>Рекомендуются пациентам с жалобами на зуд для уменьшения интенсивности зуда антигистаминные средства системного действия [</w:t>
      </w:r>
      <w:r w:rsidR="00251DF4" w:rsidRPr="007D49C0">
        <w:t>4</w:t>
      </w:r>
      <w:r w:rsidR="00A011E7" w:rsidRPr="007D49C0">
        <w:t>8</w:t>
      </w:r>
      <w:r w:rsidR="00B81618" w:rsidRPr="007D49C0">
        <w:t>–</w:t>
      </w:r>
      <w:r w:rsidR="00A011E7" w:rsidRPr="007D49C0">
        <w:t>50</w:t>
      </w:r>
      <w:r w:rsidR="00D01F66" w:rsidRPr="007D49C0">
        <w:t>].</w:t>
      </w:r>
    </w:p>
    <w:p w:rsidR="00C46BCF" w:rsidRPr="007D49C0" w:rsidRDefault="00DE7BBA" w:rsidP="00C46BCF">
      <w:pPr>
        <w:pStyle w:val="1"/>
        <w:numPr>
          <w:ilvl w:val="0"/>
          <w:numId w:val="0"/>
        </w:numPr>
        <w:spacing w:before="0"/>
        <w:ind w:left="709"/>
        <w:divId w:val="1767193717"/>
        <w:rPr>
          <w:b/>
        </w:rPr>
      </w:pPr>
      <w:r w:rsidRPr="007D49C0">
        <w:rPr>
          <w:b/>
        </w:rPr>
        <w:t xml:space="preserve">Уровень убедительности рекомендаций </w:t>
      </w:r>
      <w:r w:rsidRPr="007D49C0">
        <w:rPr>
          <w:b/>
          <w:lang w:val="en-US"/>
        </w:rPr>
        <w:t>C</w:t>
      </w:r>
      <w:r w:rsidRPr="007D49C0">
        <w:rPr>
          <w:b/>
        </w:rPr>
        <w:t xml:space="preserve"> (уровень достоверности доказательств – 5)</w:t>
      </w:r>
    </w:p>
    <w:p w:rsidR="00376C46" w:rsidRPr="007D49C0" w:rsidRDefault="00376C46" w:rsidP="00C46BCF">
      <w:pPr>
        <w:pStyle w:val="1"/>
        <w:numPr>
          <w:ilvl w:val="0"/>
          <w:numId w:val="0"/>
        </w:numPr>
        <w:spacing w:before="0"/>
        <w:ind w:left="709"/>
        <w:divId w:val="1767193717"/>
        <w:rPr>
          <w:b/>
        </w:rPr>
      </w:pPr>
      <w:r w:rsidRPr="007D49C0">
        <w:rPr>
          <w:b/>
        </w:rPr>
        <w:t xml:space="preserve">Комментарии: </w:t>
      </w:r>
      <w:r w:rsidRPr="007D49C0">
        <w:rPr>
          <w:i/>
        </w:rPr>
        <w:t xml:space="preserve">При интенсивном зуде предпочтительным является парентеральное введение </w:t>
      </w:r>
      <w:r w:rsidRPr="007D49C0">
        <w:rPr>
          <w:i/>
          <w:szCs w:val="24"/>
        </w:rPr>
        <w:t>антигистаминных средств системного действия</w:t>
      </w:r>
      <w:r w:rsidR="000E54DB" w:rsidRPr="007D49C0">
        <w:rPr>
          <w:i/>
        </w:rPr>
        <w:t>, согласно инструкции</w:t>
      </w:r>
    </w:p>
    <w:p w:rsidR="00376C46" w:rsidRPr="007D49C0" w:rsidRDefault="00376C46" w:rsidP="00C46BCF">
      <w:pPr>
        <w:pStyle w:val="aff1"/>
        <w:divId w:val="1767193717"/>
        <w:rPr>
          <w:b w:val="0"/>
        </w:rPr>
      </w:pPr>
    </w:p>
    <w:p w:rsidR="00703176" w:rsidRPr="007D49C0" w:rsidRDefault="00C46BCF" w:rsidP="00376C46">
      <w:pPr>
        <w:pStyle w:val="1"/>
        <w:numPr>
          <w:ilvl w:val="0"/>
          <w:numId w:val="23"/>
        </w:numPr>
        <w:spacing w:before="0"/>
        <w:ind w:left="709" w:hanging="709"/>
        <w:divId w:val="1767193717"/>
      </w:pPr>
      <w:r w:rsidRPr="007D49C0">
        <w:rPr>
          <w:b/>
        </w:rPr>
        <w:t xml:space="preserve">Рекомендуются </w:t>
      </w:r>
      <w:r w:rsidRPr="007D49C0">
        <w:t>пациентам с жалобами на боли анальгетики</w:t>
      </w:r>
      <w:r w:rsidR="00703176" w:rsidRPr="007D49C0">
        <w:t xml:space="preserve"> или нестероидные противовоспалительные и противоревматические препараты [</w:t>
      </w:r>
      <w:r w:rsidR="00A011E7" w:rsidRPr="007D49C0">
        <w:t>51</w:t>
      </w:r>
      <w:r w:rsidR="00703176" w:rsidRPr="007D49C0">
        <w:t>]:</w:t>
      </w:r>
    </w:p>
    <w:p w:rsidR="00C46BCF" w:rsidRPr="007D49C0" w:rsidRDefault="00703176" w:rsidP="00C46BCF">
      <w:pPr>
        <w:pStyle w:val="1"/>
        <w:numPr>
          <w:ilvl w:val="0"/>
          <w:numId w:val="0"/>
        </w:numPr>
        <w:spacing w:before="0"/>
        <w:ind w:left="709"/>
        <w:divId w:val="1767193717"/>
      </w:pPr>
      <w:r w:rsidRPr="007D49C0">
        <w:t>п</w:t>
      </w:r>
      <w:r w:rsidR="00C46BCF" w:rsidRPr="007D49C0">
        <w:t>арацетамол перорально детям в возрасте</w:t>
      </w:r>
      <w:r w:rsidR="000E54DB" w:rsidRPr="007D49C0">
        <w:t xml:space="preserve"> от</w:t>
      </w:r>
      <w:r w:rsidR="00C46BCF" w:rsidRPr="007D49C0">
        <w:t xml:space="preserve"> 12 лет и взрослым 500–1000 мг 2–4 раза в сутки</w:t>
      </w:r>
      <w:r w:rsidR="00251DF4" w:rsidRPr="007D49C0">
        <w:t xml:space="preserve"> [</w:t>
      </w:r>
      <w:r w:rsidR="00A011E7" w:rsidRPr="007D49C0">
        <w:t>51</w:t>
      </w:r>
      <w:r w:rsidR="00251DF4" w:rsidRPr="007D49C0">
        <w:t>]</w:t>
      </w:r>
    </w:p>
    <w:p w:rsidR="00703176" w:rsidRPr="007D49C0" w:rsidRDefault="00703176" w:rsidP="00C46BCF">
      <w:pPr>
        <w:pStyle w:val="1"/>
        <w:numPr>
          <w:ilvl w:val="0"/>
          <w:numId w:val="0"/>
        </w:numPr>
        <w:spacing w:before="0"/>
        <w:ind w:left="709"/>
        <w:divId w:val="1767193717"/>
      </w:pPr>
      <w:r w:rsidRPr="007D49C0">
        <w:rPr>
          <w:rStyle w:val="affa"/>
        </w:rPr>
        <w:t xml:space="preserve">Уровень убедительности рекомендаций </w:t>
      </w:r>
      <w:r w:rsidRPr="007D49C0">
        <w:rPr>
          <w:rStyle w:val="affa"/>
        </w:rPr>
        <w:softHyphen/>
        <w:t xml:space="preserve">С </w:t>
      </w:r>
      <w:r w:rsidRPr="007D49C0">
        <w:rPr>
          <w:b/>
        </w:rPr>
        <w:t>(уровень достоверности доказательств – 5)</w:t>
      </w:r>
    </w:p>
    <w:p w:rsidR="00C46BCF" w:rsidRPr="007D49C0" w:rsidRDefault="00C46BCF" w:rsidP="00C46BCF">
      <w:pPr>
        <w:pStyle w:val="1"/>
        <w:numPr>
          <w:ilvl w:val="0"/>
          <w:numId w:val="0"/>
        </w:numPr>
        <w:spacing w:before="0"/>
        <w:ind w:left="709"/>
        <w:divId w:val="1767193717"/>
      </w:pPr>
      <w:r w:rsidRPr="007D49C0">
        <w:t xml:space="preserve">или </w:t>
      </w:r>
    </w:p>
    <w:p w:rsidR="00C46BCF" w:rsidRPr="007D49C0" w:rsidRDefault="00C46BCF" w:rsidP="00C46BCF">
      <w:pPr>
        <w:pStyle w:val="1"/>
        <w:numPr>
          <w:ilvl w:val="0"/>
          <w:numId w:val="0"/>
        </w:numPr>
        <w:spacing w:before="0"/>
        <w:ind w:left="709"/>
        <w:divId w:val="1767193717"/>
      </w:pPr>
      <w:r w:rsidRPr="007D49C0">
        <w:t>целекоксиб</w:t>
      </w:r>
      <w:r w:rsidR="00703176" w:rsidRPr="007D49C0">
        <w:t xml:space="preserve"> </w:t>
      </w:r>
      <w:r w:rsidR="00B81618" w:rsidRPr="007D49C0">
        <w:t xml:space="preserve"> перорально </w:t>
      </w:r>
      <w:r w:rsidR="00251DF4" w:rsidRPr="007D49C0">
        <w:t>в начальной дозе</w:t>
      </w:r>
      <w:r w:rsidR="00703176" w:rsidRPr="007D49C0">
        <w:t xml:space="preserve"> 400 мг, с последующим, при необходимости, приемом дополнительной дозы в 200 мг в первый день. В последующие дни </w:t>
      </w:r>
      <w:r w:rsidR="00251DF4" w:rsidRPr="007D49C0">
        <w:t>– по</w:t>
      </w:r>
      <w:r w:rsidR="00703176" w:rsidRPr="007D49C0">
        <w:t xml:space="preserve"> 200 мг 2 раза в сутки</w:t>
      </w:r>
      <w:r w:rsidR="00251DF4" w:rsidRPr="007D49C0">
        <w:t xml:space="preserve"> [</w:t>
      </w:r>
      <w:r w:rsidR="00A011E7" w:rsidRPr="007D49C0">
        <w:t>51</w:t>
      </w:r>
      <w:r w:rsidR="00251DF4" w:rsidRPr="007D49C0">
        <w:t xml:space="preserve">] </w:t>
      </w:r>
      <w:r w:rsidR="00703176" w:rsidRPr="007D49C0">
        <w:t>.</w:t>
      </w:r>
    </w:p>
    <w:p w:rsidR="00703176" w:rsidRPr="007D49C0" w:rsidRDefault="00703176" w:rsidP="00C46BCF">
      <w:pPr>
        <w:pStyle w:val="1"/>
        <w:numPr>
          <w:ilvl w:val="0"/>
          <w:numId w:val="0"/>
        </w:numPr>
        <w:spacing w:before="0"/>
        <w:ind w:left="709"/>
        <w:divId w:val="1767193717"/>
        <w:rPr>
          <w:b/>
        </w:rPr>
      </w:pPr>
      <w:r w:rsidRPr="007D49C0">
        <w:rPr>
          <w:rStyle w:val="affa"/>
        </w:rPr>
        <w:t xml:space="preserve">Уровень убедительности рекомендаций </w:t>
      </w:r>
      <w:r w:rsidRPr="007D49C0">
        <w:rPr>
          <w:rStyle w:val="affa"/>
        </w:rPr>
        <w:softHyphen/>
        <w:t xml:space="preserve">С </w:t>
      </w:r>
      <w:r w:rsidRPr="007D49C0">
        <w:rPr>
          <w:b/>
        </w:rPr>
        <w:t>(уровень достоверности доказательств – 5)</w:t>
      </w:r>
    </w:p>
    <w:p w:rsidR="00553C9F" w:rsidRPr="00553C9F" w:rsidRDefault="00553C9F" w:rsidP="00C46BCF">
      <w:pPr>
        <w:pStyle w:val="1"/>
        <w:numPr>
          <w:ilvl w:val="0"/>
          <w:numId w:val="0"/>
        </w:numPr>
        <w:spacing w:before="0"/>
        <w:ind w:left="709"/>
        <w:divId w:val="1767193717"/>
        <w:rPr>
          <w:i/>
        </w:rPr>
      </w:pPr>
      <w:r w:rsidRPr="007D49C0">
        <w:rPr>
          <w:b/>
        </w:rPr>
        <w:t xml:space="preserve">Комментарии: </w:t>
      </w:r>
      <w:r w:rsidRPr="007D49C0">
        <w:rPr>
          <w:i/>
          <w:color w:val="000000"/>
          <w:szCs w:val="24"/>
        </w:rPr>
        <w:t xml:space="preserve">Пациентам с </w:t>
      </w:r>
      <w:r w:rsidRPr="007D49C0">
        <w:rPr>
          <w:i/>
          <w:szCs w:val="24"/>
        </w:rPr>
        <w:t>синдромом Сезари</w:t>
      </w:r>
      <w:r w:rsidRPr="007D49C0">
        <w:rPr>
          <w:i/>
          <w:color w:val="000000"/>
          <w:szCs w:val="24"/>
        </w:rPr>
        <w:t xml:space="preserve"> при возникновении острого</w:t>
      </w:r>
      <w:r w:rsidRPr="00553C9F">
        <w:rPr>
          <w:i/>
          <w:color w:val="000000"/>
          <w:szCs w:val="24"/>
        </w:rPr>
        <w:t xml:space="preserve"> или хронического болевого</w:t>
      </w:r>
      <w:r>
        <w:rPr>
          <w:i/>
          <w:color w:val="000000"/>
          <w:szCs w:val="24"/>
        </w:rPr>
        <w:t xml:space="preserve"> </w:t>
      </w:r>
      <w:r w:rsidRPr="00553C9F">
        <w:rPr>
          <w:i/>
          <w:color w:val="000000"/>
          <w:szCs w:val="24"/>
        </w:rPr>
        <w:t>синдрома необходимо провести диагностику причины болевого синдрома и последующую</w:t>
      </w:r>
      <w:r>
        <w:rPr>
          <w:i/>
          <w:color w:val="000000"/>
          <w:szCs w:val="24"/>
        </w:rPr>
        <w:t xml:space="preserve"> </w:t>
      </w:r>
      <w:r w:rsidRPr="00553C9F">
        <w:rPr>
          <w:i/>
          <w:color w:val="000000"/>
          <w:szCs w:val="24"/>
        </w:rPr>
        <w:t>патогенетическую или симптоматическую терапию болевого синдрома в соответствии с существующими профильными рекомендациями</w:t>
      </w:r>
      <w:r w:rsidR="00A1540A">
        <w:rPr>
          <w:i/>
          <w:color w:val="000000"/>
          <w:szCs w:val="24"/>
        </w:rPr>
        <w:t xml:space="preserve"> </w:t>
      </w:r>
      <w:r w:rsidR="00A1540A" w:rsidRPr="00A1540A">
        <w:rPr>
          <w:i/>
          <w:color w:val="000000"/>
          <w:szCs w:val="24"/>
        </w:rPr>
        <w:t>[52, 53]</w:t>
      </w:r>
      <w:r w:rsidRPr="00553C9F">
        <w:rPr>
          <w:i/>
          <w:color w:val="000000"/>
          <w:szCs w:val="24"/>
        </w:rPr>
        <w:t>.</w:t>
      </w:r>
    </w:p>
    <w:p w:rsidR="000414F6" w:rsidRDefault="00CB71DA" w:rsidP="00B104EF">
      <w:pPr>
        <w:pStyle w:val="CustomContentNormal"/>
      </w:pPr>
      <w:bookmarkStart w:id="54" w:name="__RefHeading___doc_4"/>
      <w:bookmarkStart w:id="55" w:name="_Toc36831358"/>
      <w:bookmarkStart w:id="56" w:name="_Toc34301091"/>
      <w:r>
        <w:t xml:space="preserve">4. </w:t>
      </w:r>
      <w:r w:rsidR="00A43CE5">
        <w:t>Медицинская реабилитация</w:t>
      </w:r>
      <w:bookmarkEnd w:id="54"/>
      <w:r w:rsidR="00A43CE5">
        <w:t>, медицинские показания и противопоказания к применению методов реабилитации</w:t>
      </w:r>
      <w:bookmarkEnd w:id="55"/>
      <w:bookmarkEnd w:id="56"/>
    </w:p>
    <w:p w:rsidR="00F9594B" w:rsidRPr="007D49C0" w:rsidRDefault="007C43A5">
      <w:pPr>
        <w:pStyle w:val="afff7"/>
      </w:pPr>
      <w:bookmarkStart w:id="57" w:name="__RefHeading___doc_5"/>
      <w:r>
        <w:t>М</w:t>
      </w:r>
      <w:r w:rsidR="00FB5F9C" w:rsidRPr="00306BA6">
        <w:t xml:space="preserve">етодов реабилитации при </w:t>
      </w:r>
      <w:r w:rsidR="00FB5F9C">
        <w:t>синдроме Сезари</w:t>
      </w:r>
      <w:r w:rsidR="00FB5F9C" w:rsidRPr="00306BA6">
        <w:t xml:space="preserve"> не существует.</w:t>
      </w:r>
      <w:r w:rsidR="0063655A">
        <w:t xml:space="preserve"> Тем не менее, в</w:t>
      </w:r>
      <w:r w:rsidR="0063655A" w:rsidRPr="0063655A">
        <w:t>сем пациентам с синдромом Сезари</w:t>
      </w:r>
      <w:r w:rsidR="0063655A">
        <w:t xml:space="preserve"> </w:t>
      </w:r>
      <w:r w:rsidR="0063655A" w:rsidRPr="0063655A">
        <w:t xml:space="preserve">на всех этапах терапии заболевания, а также после </w:t>
      </w:r>
      <w:r w:rsidR="0063655A" w:rsidRPr="007D49C0">
        <w:lastRenderedPageBreak/>
        <w:t xml:space="preserve">завершения лекарственного лечения </w:t>
      </w:r>
      <w:r w:rsidR="00495193" w:rsidRPr="007D49C0">
        <w:t xml:space="preserve">рекомендована </w:t>
      </w:r>
      <w:r w:rsidR="0063655A" w:rsidRPr="007D49C0">
        <w:t xml:space="preserve">комплексная реабилитация, а также, при необходимости, поддерживающая терапия. </w:t>
      </w:r>
      <w:r w:rsidR="00495193" w:rsidRPr="007D49C0">
        <w:t xml:space="preserve"> </w:t>
      </w:r>
      <w:r w:rsidR="00495193" w:rsidRPr="007D49C0">
        <w:rPr>
          <w:lang w:val="en-US"/>
        </w:rPr>
        <w:t>[</w:t>
      </w:r>
      <w:r w:rsidR="00DE7BBA" w:rsidRPr="007D49C0">
        <w:t>54]</w:t>
      </w:r>
      <w:r w:rsidR="0063655A" w:rsidRPr="007D49C0">
        <w:t>.</w:t>
      </w:r>
      <w:r w:rsidR="00495193" w:rsidRPr="007D49C0">
        <w:t xml:space="preserve"> </w:t>
      </w:r>
    </w:p>
    <w:p w:rsidR="00F9594B" w:rsidRPr="007D49C0" w:rsidRDefault="00DE7BBA">
      <w:pPr>
        <w:pStyle w:val="afff9"/>
      </w:pPr>
      <w:r w:rsidRPr="007D49C0">
        <w:t>Уровень убедительности рекомендаций ¬С (уровень достоверности доказательств – 5)</w:t>
      </w:r>
    </w:p>
    <w:p w:rsidR="00495193" w:rsidRPr="007D49C0" w:rsidRDefault="00495193" w:rsidP="0063655A">
      <w:pPr>
        <w:pStyle w:val="2-6"/>
        <w:rPr>
          <w:i/>
          <w:iCs/>
        </w:rPr>
      </w:pPr>
      <w:r w:rsidRPr="007D49C0">
        <w:rPr>
          <w:b/>
          <w:i/>
          <w:iCs/>
        </w:rPr>
        <w:t>Комментарии:</w:t>
      </w:r>
      <w:r w:rsidRPr="007D49C0">
        <w:rPr>
          <w:i/>
          <w:iCs/>
        </w:rPr>
        <w:t xml:space="preserve"> Реабилитация пациентов с синдромом Сезари должна охватывать не только медицинские, но и социально-психологические аспекты адаптации пациента к нормальной жизни. Такая реабилитация требует, кроме медицинской помощи, обязательного участия социальных работников и психологов. Программы реабилитации разрабатываются индивидуально, в зависимости от выявленных осложнений лекарственного лечения, сопутствующей патологии, социальных и психологических проблем.</w:t>
      </w:r>
    </w:p>
    <w:p w:rsidR="0063655A" w:rsidRPr="007D49C0" w:rsidRDefault="0063655A" w:rsidP="0063655A">
      <w:pPr>
        <w:pStyle w:val="2-6"/>
        <w:rPr>
          <w:i/>
          <w:iCs/>
        </w:rPr>
      </w:pPr>
      <w:r w:rsidRPr="007D49C0">
        <w:rPr>
          <w:i/>
          <w:iCs/>
        </w:rPr>
        <w:t xml:space="preserve">Реабилитация при возникновении осложнений в течение заболевания и лечения проводится в рамках соответствующих нозологий. </w:t>
      </w:r>
    </w:p>
    <w:p w:rsidR="001F4BBA" w:rsidRPr="007D49C0" w:rsidRDefault="0063655A" w:rsidP="0063655A">
      <w:pPr>
        <w:pStyle w:val="2-6"/>
        <w:rPr>
          <w:i/>
          <w:iCs/>
        </w:rPr>
      </w:pPr>
      <w:r w:rsidRPr="007D49C0">
        <w:rPr>
          <w:i/>
          <w:iCs/>
        </w:rPr>
        <w:t>Пациентам даются рекомендации вести здоровый образ жизни, исключить избыточную инсоляцию и тепловые физиопроцедуры.</w:t>
      </w:r>
    </w:p>
    <w:p w:rsidR="00A43CE5" w:rsidRDefault="00094ED6" w:rsidP="00A43CE5">
      <w:pPr>
        <w:pStyle w:val="CustomContentNormal"/>
      </w:pPr>
      <w:bookmarkStart w:id="58" w:name="_Toc36831359"/>
      <w:bookmarkStart w:id="59" w:name="_Toc34301092"/>
      <w:r>
        <w:t xml:space="preserve">5. </w:t>
      </w:r>
      <w:r w:rsidR="00CB71DA">
        <w:t>Профилактика</w:t>
      </w:r>
      <w:bookmarkEnd w:id="57"/>
      <w:r w:rsidR="00B104EF">
        <w:t xml:space="preserve"> и диспансерное наблюдение</w:t>
      </w:r>
      <w:r w:rsidR="00A43CE5">
        <w:t>,</w:t>
      </w:r>
      <w:r w:rsidR="0063655A">
        <w:t xml:space="preserve"> </w:t>
      </w:r>
      <w:r w:rsidR="00A43CE5">
        <w:t>медицинские показания и противопоказания к применению методов профилактики</w:t>
      </w:r>
      <w:bookmarkEnd w:id="58"/>
      <w:bookmarkEnd w:id="59"/>
    </w:p>
    <w:p w:rsidR="00FB5F9C" w:rsidRPr="00BB7D37" w:rsidRDefault="00FB5F9C" w:rsidP="00FB5F9C">
      <w:pPr>
        <w:pStyle w:val="afb"/>
        <w:tabs>
          <w:tab w:val="left" w:pos="993"/>
        </w:tabs>
        <w:spacing w:beforeAutospacing="0" w:afterAutospacing="0" w:line="360" w:lineRule="auto"/>
        <w:ind w:firstLine="567"/>
      </w:pPr>
      <w:bookmarkStart w:id="60" w:name="__RefHeading___doc_6"/>
      <w:r w:rsidRPr="00BB7D37">
        <w:rPr>
          <w:iCs/>
        </w:rPr>
        <w:t xml:space="preserve">Методов профилактики </w:t>
      </w:r>
      <w:r>
        <w:rPr>
          <w:iCs/>
        </w:rPr>
        <w:t>синдрома Сезари</w:t>
      </w:r>
      <w:r w:rsidRPr="00BB7D37">
        <w:rPr>
          <w:iCs/>
        </w:rPr>
        <w:t xml:space="preserve"> в настоящее время не существует, поскольку неизвестен э</w:t>
      </w:r>
      <w:r w:rsidR="0037705A">
        <w:rPr>
          <w:iCs/>
        </w:rPr>
        <w:t>тиологический фактор(ы), ведущий</w:t>
      </w:r>
      <w:r w:rsidRPr="00BB7D37">
        <w:rPr>
          <w:iCs/>
        </w:rPr>
        <w:t xml:space="preserve"> к развитию заболевания. Диспансерное наблюдение </w:t>
      </w:r>
      <w:r>
        <w:rPr>
          <w:iCs/>
        </w:rPr>
        <w:t>врачом-</w:t>
      </w:r>
      <w:r w:rsidRPr="00BB7D37">
        <w:rPr>
          <w:iCs/>
        </w:rPr>
        <w:t xml:space="preserve">гематологом или </w:t>
      </w:r>
      <w:r>
        <w:rPr>
          <w:iCs/>
        </w:rPr>
        <w:t>врачом-</w:t>
      </w:r>
      <w:r w:rsidRPr="00BB7D37">
        <w:rPr>
          <w:iCs/>
        </w:rPr>
        <w:t>онкологом осуществляется в период лечения и после достижения ремиссии лимфомы.</w:t>
      </w:r>
      <w:r w:rsidR="00553C9F" w:rsidRPr="00553C9F">
        <w:t xml:space="preserve"> </w:t>
      </w:r>
      <w:r w:rsidR="00553C9F" w:rsidRPr="0057361B">
        <w:t>Обезболивание</w:t>
      </w:r>
      <w:r w:rsidR="00553C9F">
        <w:t xml:space="preserve"> </w:t>
      </w:r>
      <w:r w:rsidR="00553C9F" w:rsidRPr="0057361B">
        <w:t>осуществляется в соответстви</w:t>
      </w:r>
      <w:r w:rsidR="00553C9F">
        <w:t>и</w:t>
      </w:r>
      <w:r w:rsidR="00553C9F" w:rsidRPr="0057361B">
        <w:t xml:space="preserve"> с</w:t>
      </w:r>
      <w:r w:rsidR="00553C9F">
        <w:t>о</w:t>
      </w:r>
      <w:r w:rsidR="00553C9F" w:rsidRPr="0057361B">
        <w:t xml:space="preserve"> стандартами оказания паллиативной помощи.</w:t>
      </w:r>
    </w:p>
    <w:p w:rsidR="007C43A5" w:rsidRPr="007D49C0" w:rsidRDefault="007C43A5" w:rsidP="007D49C0">
      <w:pPr>
        <w:pStyle w:val="afb"/>
        <w:numPr>
          <w:ilvl w:val="0"/>
          <w:numId w:val="23"/>
        </w:numPr>
        <w:tabs>
          <w:tab w:val="left" w:pos="993"/>
        </w:tabs>
        <w:spacing w:beforeAutospacing="0" w:afterAutospacing="0" w:line="360" w:lineRule="auto"/>
        <w:ind w:left="0" w:firstLine="567"/>
      </w:pPr>
      <w:r w:rsidRPr="00444EC5">
        <w:rPr>
          <w:b/>
          <w:bCs/>
        </w:rPr>
        <w:t>Рекомен</w:t>
      </w:r>
      <w:r>
        <w:rPr>
          <w:b/>
          <w:bCs/>
        </w:rPr>
        <w:t>дуется</w:t>
      </w:r>
      <w:r>
        <w:t xml:space="preserve"> каждые 6 месяцев проведение обследования (физикальный осмотр с картированием кожи, УЗИ периферических лимфатических узлов, компьютерная </w:t>
      </w:r>
      <w:r w:rsidRPr="007D49C0">
        <w:t>томография органов грудной клетки, брюшной полости и малого таза) [25].</w:t>
      </w:r>
    </w:p>
    <w:p w:rsidR="007C43A5" w:rsidRPr="007D49C0" w:rsidRDefault="007C43A5" w:rsidP="007D49C0">
      <w:pPr>
        <w:pStyle w:val="afb"/>
        <w:tabs>
          <w:tab w:val="left" w:pos="993"/>
        </w:tabs>
        <w:spacing w:beforeAutospacing="0" w:afterAutospacing="0" w:line="360" w:lineRule="auto"/>
        <w:ind w:firstLine="567"/>
      </w:pPr>
      <w:r w:rsidRPr="007D49C0">
        <w:rPr>
          <w:rStyle w:val="affa"/>
        </w:rPr>
        <w:t xml:space="preserve">Уровень убедительности рекомендаций </w:t>
      </w:r>
      <w:r w:rsidRPr="007D49C0">
        <w:rPr>
          <w:rStyle w:val="affa"/>
        </w:rPr>
        <w:softHyphen/>
        <w:t>С</w:t>
      </w:r>
      <w:r w:rsidRPr="007D49C0">
        <w:t xml:space="preserve"> (уровень достоверности доказательств – 5)</w:t>
      </w:r>
    </w:p>
    <w:p w:rsidR="00CC5156" w:rsidRDefault="007C43A5" w:rsidP="007D49C0">
      <w:pPr>
        <w:pStyle w:val="afb"/>
        <w:tabs>
          <w:tab w:val="left" w:pos="993"/>
        </w:tabs>
        <w:spacing w:beforeAutospacing="0" w:afterAutospacing="0" w:line="360" w:lineRule="auto"/>
        <w:ind w:firstLine="567"/>
      </w:pPr>
      <w:r w:rsidRPr="007D49C0">
        <w:rPr>
          <w:b/>
          <w:bCs/>
        </w:rPr>
        <w:t>Комментарий:</w:t>
      </w:r>
      <w:r w:rsidRPr="007D49C0">
        <w:rPr>
          <w:b/>
        </w:rPr>
        <w:t xml:space="preserve"> </w:t>
      </w:r>
      <w:r w:rsidRPr="007D49C0">
        <w:rPr>
          <w:i/>
        </w:rPr>
        <w:t>Тактика лечения рецидивов базируется на определении стадии заболевания, учитывается развитие резистентности</w:t>
      </w:r>
      <w:r w:rsidRPr="00305BCA">
        <w:rPr>
          <w:i/>
        </w:rPr>
        <w:t xml:space="preserve"> к предыдущим видам терапии.</w:t>
      </w:r>
    </w:p>
    <w:p w:rsidR="009B4039" w:rsidRDefault="00C4630C" w:rsidP="00C4630C">
      <w:pPr>
        <w:pStyle w:val="afff1"/>
      </w:pPr>
      <w:bookmarkStart w:id="61" w:name="_Toc36831360"/>
      <w:bookmarkStart w:id="62" w:name="_Toc34301093"/>
      <w:r>
        <w:t xml:space="preserve">6. </w:t>
      </w:r>
      <w:r w:rsidR="009B4039" w:rsidRPr="00BF3A59">
        <w:t xml:space="preserve">Организация </w:t>
      </w:r>
      <w:r w:rsidR="00E40902">
        <w:t xml:space="preserve">оказания </w:t>
      </w:r>
      <w:r w:rsidR="009B4039" w:rsidRPr="00BF3A59">
        <w:t>медицинской помощи</w:t>
      </w:r>
      <w:bookmarkEnd w:id="61"/>
      <w:bookmarkEnd w:id="62"/>
    </w:p>
    <w:p w:rsidR="00FB5F9C" w:rsidRDefault="00FB5F9C" w:rsidP="00FB5F9C">
      <w:pPr>
        <w:pStyle w:val="17"/>
        <w:ind w:left="0" w:firstLine="709"/>
      </w:pPr>
      <w:r w:rsidRPr="00844B74">
        <w:t>В рамках оказания первичной врачебной медико-санитарной помо</w:t>
      </w:r>
      <w:r w:rsidR="0037705A">
        <w:t>щи, врачи-терапевты участковые,</w:t>
      </w:r>
      <w:r w:rsidRPr="00844B74">
        <w:t xml:space="preserve"> врачи общей практики (семейные врачи) при выявлении у </w:t>
      </w:r>
      <w:r w:rsidR="00C579D5">
        <w:t>пациентов</w:t>
      </w:r>
      <w:r w:rsidR="001A6D3E" w:rsidRPr="001A6D3E">
        <w:t xml:space="preserve"> </w:t>
      </w:r>
      <w:r w:rsidRPr="00844B74">
        <w:t xml:space="preserve">высыпаний на коже, кожного зуда, выявление симптомов или признаков </w:t>
      </w:r>
      <w:r>
        <w:lastRenderedPageBreak/>
        <w:t>синдрома Сезари</w:t>
      </w:r>
      <w:r w:rsidR="001A6D3E" w:rsidRPr="001A6D3E">
        <w:t xml:space="preserve"> </w:t>
      </w:r>
      <w:r w:rsidRPr="00844B74">
        <w:t xml:space="preserve">направляют </w:t>
      </w:r>
      <w:r w:rsidR="00C579D5">
        <w:t>пац</w:t>
      </w:r>
      <w:r w:rsidR="001A6D3E">
        <w:t>и</w:t>
      </w:r>
      <w:r w:rsidR="00C579D5">
        <w:t>ента</w:t>
      </w:r>
      <w:r w:rsidR="001A6D3E" w:rsidRPr="001A6D3E">
        <w:t xml:space="preserve"> </w:t>
      </w:r>
      <w:r w:rsidRPr="00844B74">
        <w:t>в медицинскую организацию</w:t>
      </w:r>
      <w:r w:rsidR="001A6D3E" w:rsidRPr="001A6D3E">
        <w:t xml:space="preserve"> </w:t>
      </w:r>
      <w:r w:rsidRPr="00844B74">
        <w:t>дерматовенерологического профиля</w:t>
      </w:r>
      <w:r>
        <w:t xml:space="preserve"> или кабинет врача</w:t>
      </w:r>
      <w:r w:rsidR="00C579D5">
        <w:t>-</w:t>
      </w:r>
      <w:r>
        <w:t xml:space="preserve">онколога/ </w:t>
      </w:r>
      <w:r w:rsidR="00C579D5">
        <w:t>врача-</w:t>
      </w:r>
      <w:r>
        <w:t xml:space="preserve">гематолога </w:t>
      </w:r>
      <w:r w:rsidRPr="00844B74">
        <w:t>для оказания ему первичной специализированной медико-санитарной помощи, а также осуществляют оказание медицинской помощи в соответствии с рекомендациями медицинской организации дерматовенерологического профиля</w:t>
      </w:r>
      <w:r>
        <w:t xml:space="preserve"> и/или врача онколога/ гематолога</w:t>
      </w:r>
      <w:r w:rsidR="001A5CB2">
        <w:t>.</w:t>
      </w:r>
    </w:p>
    <w:p w:rsidR="00FB5F9C" w:rsidRPr="000944EE" w:rsidRDefault="00FB5F9C" w:rsidP="00FB5F9C">
      <w:pPr>
        <w:pStyle w:val="aff7"/>
        <w:rPr>
          <w:color w:val="000000"/>
          <w:lang w:bidi="ru-RU"/>
        </w:rPr>
      </w:pPr>
      <w:r w:rsidRPr="000944EE">
        <w:rPr>
          <w:color w:val="000000"/>
          <w:lang w:bidi="ru-RU"/>
        </w:rPr>
        <w:t xml:space="preserve">При невозможности оказания медицинской помощи в рамках первичной специализированной медико-санитарной помощи и наличии медицинских показаний </w:t>
      </w:r>
      <w:r w:rsidR="00C579D5">
        <w:rPr>
          <w:color w:val="000000"/>
          <w:lang w:bidi="ru-RU"/>
        </w:rPr>
        <w:t>пациент</w:t>
      </w:r>
      <w:r w:rsidR="001A6D3E" w:rsidRPr="001A6D3E">
        <w:rPr>
          <w:color w:val="000000"/>
          <w:lang w:bidi="ru-RU"/>
        </w:rPr>
        <w:t xml:space="preserve"> </w:t>
      </w:r>
      <w:r w:rsidRPr="000944EE">
        <w:rPr>
          <w:color w:val="000000"/>
          <w:lang w:bidi="ru-RU"/>
        </w:rPr>
        <w:t>направляется в медицинскую организацию, оказывающую специализированную медицинскую помощь.</w:t>
      </w:r>
    </w:p>
    <w:p w:rsidR="00FB5F9C" w:rsidRPr="000944EE" w:rsidRDefault="00FB5F9C" w:rsidP="00FB5F9C">
      <w:pPr>
        <w:pStyle w:val="aff7"/>
        <w:ind w:firstLine="720"/>
        <w:rPr>
          <w:lang w:bidi="ru-RU"/>
        </w:rPr>
      </w:pPr>
      <w:r w:rsidRPr="000944EE">
        <w:rPr>
          <w:lang w:bidi="ru-RU"/>
        </w:rPr>
        <w:t>Специализированная, в том числе высокотехнологичная, медици</w:t>
      </w:r>
      <w:r w:rsidR="0037705A" w:rsidRPr="000944EE">
        <w:rPr>
          <w:lang w:bidi="ru-RU"/>
        </w:rPr>
        <w:t>нская помощь оказывается врачом</w:t>
      </w:r>
      <w:r w:rsidRPr="000944EE">
        <w:rPr>
          <w:lang w:bidi="ru-RU"/>
        </w:rPr>
        <w:t>-</w:t>
      </w:r>
      <w:r w:rsidR="00F512A6" w:rsidRPr="000944EE">
        <w:rPr>
          <w:lang w:bidi="ru-RU"/>
        </w:rPr>
        <w:t>дерматовенерологом</w:t>
      </w:r>
      <w:r w:rsidRPr="000944EE">
        <w:rPr>
          <w:lang w:bidi="ru-RU"/>
        </w:rPr>
        <w:t xml:space="preserve"> и/или </w:t>
      </w:r>
      <w:r w:rsidRPr="000944EE">
        <w:t>врачом-гематологом</w:t>
      </w:r>
      <w:r w:rsidR="00244720">
        <w:t xml:space="preserve"> </w:t>
      </w:r>
      <w:r w:rsidR="00F512A6" w:rsidRPr="000944EE">
        <w:rPr>
          <w:lang w:bidi="ru-RU"/>
        </w:rPr>
        <w:t>и/или врачом-онкологом</w:t>
      </w:r>
      <w:r w:rsidRPr="000944EE">
        <w:rPr>
          <w:lang w:bidi="ru-RU"/>
        </w:rPr>
        <w:t xml:space="preserve"> в стационарных условиях.</w:t>
      </w:r>
    </w:p>
    <w:p w:rsidR="00FB5F9C" w:rsidRPr="000944EE" w:rsidRDefault="00FB5F9C" w:rsidP="00FB5F9C">
      <w:pPr>
        <w:pStyle w:val="aff7"/>
      </w:pPr>
      <w:r w:rsidRPr="000944EE">
        <w:t>Показания для плановой госпитализации в медицинскую организацию:</w:t>
      </w:r>
    </w:p>
    <w:p w:rsidR="00FB5F9C" w:rsidRPr="000944EE" w:rsidRDefault="00FB5F9C" w:rsidP="00FB5F9C">
      <w:pPr>
        <w:pStyle w:val="17"/>
      </w:pPr>
      <w:r w:rsidRPr="000944EE">
        <w:t>1) Показания для оказания медицинской помощи в дневном стационаре:</w:t>
      </w:r>
    </w:p>
    <w:p w:rsidR="00FB5F9C" w:rsidRPr="000944EE" w:rsidRDefault="00FB5F9C" w:rsidP="00FB5F9C">
      <w:pPr>
        <w:pStyle w:val="17"/>
        <w:numPr>
          <w:ilvl w:val="0"/>
          <w:numId w:val="26"/>
        </w:numPr>
      </w:pPr>
      <w:r w:rsidRPr="000944EE">
        <w:t xml:space="preserve">недостаточная эффективность лечения, проводимого в амбулаторных </w:t>
      </w:r>
      <w:proofErr w:type="gramStart"/>
      <w:r w:rsidRPr="000944EE">
        <w:t>условиях</w:t>
      </w:r>
      <w:proofErr w:type="gramEnd"/>
    </w:p>
    <w:p w:rsidR="00FB5F9C" w:rsidRPr="000944EE" w:rsidRDefault="00244720" w:rsidP="00FB5F9C">
      <w:pPr>
        <w:pStyle w:val="afd"/>
        <w:widowControl w:val="0"/>
        <w:numPr>
          <w:ilvl w:val="0"/>
          <w:numId w:val="26"/>
        </w:numPr>
        <w:rPr>
          <w:rFonts w:eastAsiaTheme="majorEastAsia"/>
          <w:szCs w:val="24"/>
          <w:lang w:eastAsia="ru-RU"/>
        </w:rPr>
      </w:pPr>
      <w:r>
        <w:rPr>
          <w:rFonts w:eastAsiaTheme="majorEastAsia"/>
          <w:szCs w:val="24"/>
          <w:lang w:eastAsia="ru-RU"/>
        </w:rPr>
        <w:t>о</w:t>
      </w:r>
      <w:r w:rsidR="00FB5F9C" w:rsidRPr="000944EE">
        <w:rPr>
          <w:rFonts w:eastAsiaTheme="majorEastAsia"/>
          <w:szCs w:val="24"/>
          <w:lang w:eastAsia="ru-RU"/>
        </w:rPr>
        <w:t xml:space="preserve">бследование пациента, включающее биопсию и </w:t>
      </w:r>
      <w:r w:rsidR="00F512A6" w:rsidRPr="000944EE">
        <w:rPr>
          <w:rFonts w:eastAsiaTheme="majorEastAsia"/>
          <w:szCs w:val="24"/>
          <w:lang w:eastAsia="ru-RU"/>
        </w:rPr>
        <w:t xml:space="preserve">другие </w:t>
      </w:r>
      <w:r w:rsidR="00FB5F9C" w:rsidRPr="000944EE">
        <w:rPr>
          <w:rFonts w:eastAsiaTheme="majorEastAsia"/>
          <w:szCs w:val="24"/>
          <w:lang w:eastAsia="ru-RU"/>
        </w:rPr>
        <w:t xml:space="preserve">инвазивные вмешательства, в </w:t>
      </w:r>
      <w:proofErr w:type="gramStart"/>
      <w:r w:rsidR="00FB5F9C" w:rsidRPr="000944EE">
        <w:rPr>
          <w:rFonts w:eastAsiaTheme="majorEastAsia"/>
          <w:szCs w:val="24"/>
          <w:lang w:eastAsia="ru-RU"/>
        </w:rPr>
        <w:t>случаях</w:t>
      </w:r>
      <w:proofErr w:type="gramEnd"/>
      <w:r w:rsidR="00FB5F9C" w:rsidRPr="000944EE">
        <w:rPr>
          <w:rFonts w:eastAsiaTheme="majorEastAsia"/>
          <w:szCs w:val="24"/>
          <w:lang w:eastAsia="ru-RU"/>
        </w:rPr>
        <w:t>, когда оно не может быть проведено амбулаторно.</w:t>
      </w:r>
    </w:p>
    <w:p w:rsidR="00FB5F9C" w:rsidRPr="000944EE" w:rsidRDefault="00FB5F9C" w:rsidP="00FB5F9C">
      <w:pPr>
        <w:pStyle w:val="17"/>
      </w:pPr>
      <w:r w:rsidRPr="000944EE">
        <w:t>2) Показания для оказания медицинской помощи в стационарных условиях:</w:t>
      </w:r>
    </w:p>
    <w:p w:rsidR="00FB5F9C" w:rsidRPr="000944EE" w:rsidRDefault="00FB5F9C" w:rsidP="00FB5F9C">
      <w:pPr>
        <w:pStyle w:val="17"/>
        <w:numPr>
          <w:ilvl w:val="0"/>
          <w:numId w:val="25"/>
        </w:numPr>
      </w:pPr>
      <w:r w:rsidRPr="000944EE">
        <w:t>отсутствие эффекта от проводимого лечения в амбулаторных условиях;</w:t>
      </w:r>
    </w:p>
    <w:p w:rsidR="00FB5F9C" w:rsidRPr="000944EE" w:rsidRDefault="00FB5F9C" w:rsidP="00FB5F9C">
      <w:pPr>
        <w:pStyle w:val="17"/>
        <w:numPr>
          <w:ilvl w:val="0"/>
          <w:numId w:val="25"/>
        </w:numPr>
      </w:pPr>
      <w:r w:rsidRPr="000944EE">
        <w:t xml:space="preserve"> необходимость системной терапии;</w:t>
      </w:r>
    </w:p>
    <w:p w:rsidR="00FB5F9C" w:rsidRPr="000944EE" w:rsidRDefault="00244720" w:rsidP="00FB5F9C">
      <w:pPr>
        <w:pStyle w:val="afd"/>
        <w:widowControl w:val="0"/>
        <w:numPr>
          <w:ilvl w:val="0"/>
          <w:numId w:val="25"/>
        </w:numPr>
        <w:rPr>
          <w:rFonts w:eastAsiaTheme="majorEastAsia"/>
          <w:szCs w:val="28"/>
          <w:lang w:eastAsia="ru-RU"/>
        </w:rPr>
      </w:pPr>
      <w:r>
        <w:rPr>
          <w:rFonts w:eastAsiaTheme="majorEastAsia"/>
          <w:szCs w:val="28"/>
          <w:lang w:eastAsia="ru-RU"/>
        </w:rPr>
        <w:t>о</w:t>
      </w:r>
      <w:r w:rsidR="00FB5F9C" w:rsidRPr="000944EE">
        <w:rPr>
          <w:rFonts w:eastAsiaTheme="majorEastAsia"/>
          <w:szCs w:val="28"/>
          <w:lang w:eastAsia="ru-RU"/>
        </w:rPr>
        <w:t xml:space="preserve">бследование пациента, включающее биопсию и </w:t>
      </w:r>
      <w:r w:rsidR="00F512A6" w:rsidRPr="000944EE">
        <w:rPr>
          <w:rFonts w:eastAsiaTheme="majorEastAsia"/>
          <w:szCs w:val="28"/>
          <w:lang w:eastAsia="ru-RU"/>
        </w:rPr>
        <w:t xml:space="preserve">другие </w:t>
      </w:r>
      <w:r w:rsidR="00FB5F9C" w:rsidRPr="000944EE">
        <w:rPr>
          <w:rFonts w:eastAsiaTheme="majorEastAsia"/>
          <w:szCs w:val="28"/>
          <w:lang w:eastAsia="ru-RU"/>
        </w:rPr>
        <w:t xml:space="preserve">инвазивные вмешательства, в </w:t>
      </w:r>
      <w:proofErr w:type="gramStart"/>
      <w:r w:rsidR="00FB5F9C" w:rsidRPr="000944EE">
        <w:rPr>
          <w:rFonts w:eastAsiaTheme="majorEastAsia"/>
          <w:szCs w:val="28"/>
          <w:lang w:eastAsia="ru-RU"/>
        </w:rPr>
        <w:t>случаях</w:t>
      </w:r>
      <w:proofErr w:type="gramEnd"/>
      <w:r w:rsidR="00FB5F9C" w:rsidRPr="000944EE">
        <w:rPr>
          <w:rFonts w:eastAsiaTheme="majorEastAsia"/>
          <w:szCs w:val="28"/>
          <w:lang w:eastAsia="ru-RU"/>
        </w:rPr>
        <w:t>, когда оно не может быть проведено амбулаторно.</w:t>
      </w:r>
    </w:p>
    <w:p w:rsidR="00FB5F9C" w:rsidRPr="000944EE" w:rsidRDefault="00FB5F9C" w:rsidP="00FB5F9C">
      <w:pPr>
        <w:widowControl w:val="0"/>
        <w:ind w:firstLine="708"/>
        <w:rPr>
          <w:rFonts w:eastAsiaTheme="majorEastAsia"/>
          <w:b/>
          <w:szCs w:val="24"/>
          <w:lang w:eastAsia="ru-RU"/>
        </w:rPr>
      </w:pPr>
      <w:r w:rsidRPr="000944EE">
        <w:rPr>
          <w:rFonts w:eastAsiaTheme="majorEastAsia"/>
          <w:szCs w:val="24"/>
          <w:lang w:eastAsia="ru-RU"/>
        </w:rPr>
        <w:t>3) Показания к экстренной госпитализации</w:t>
      </w:r>
      <w:r w:rsidRPr="000944EE">
        <w:rPr>
          <w:szCs w:val="24"/>
        </w:rPr>
        <w:t xml:space="preserve"> в стационар медицинской организации, оказывающей специализированную, в том числе высокотехнологичную, медицинскую помощь по профилю «гематология» и «онкология»</w:t>
      </w:r>
      <w:r w:rsidRPr="000944EE">
        <w:rPr>
          <w:rFonts w:eastAsiaTheme="majorEastAsia"/>
          <w:b/>
          <w:szCs w:val="24"/>
          <w:lang w:eastAsia="ru-RU"/>
        </w:rPr>
        <w:t xml:space="preserve">: </w:t>
      </w:r>
    </w:p>
    <w:p w:rsidR="00FB5F9C" w:rsidRPr="000944EE" w:rsidRDefault="00FB5F9C" w:rsidP="00FB5F9C">
      <w:pPr>
        <w:pStyle w:val="afd"/>
        <w:widowControl w:val="0"/>
        <w:numPr>
          <w:ilvl w:val="0"/>
          <w:numId w:val="25"/>
        </w:numPr>
        <w:rPr>
          <w:rFonts w:eastAsiaTheme="majorEastAsia"/>
          <w:szCs w:val="24"/>
          <w:lang w:eastAsia="ru-RU"/>
        </w:rPr>
      </w:pPr>
      <w:r w:rsidRPr="000944EE">
        <w:rPr>
          <w:rFonts w:eastAsiaTheme="majorEastAsia"/>
          <w:szCs w:val="24"/>
          <w:lang w:eastAsia="ru-RU"/>
        </w:rPr>
        <w:t>Развитие тяжелой инфекции (необязательна госпитализация в гематологический стационар).</w:t>
      </w:r>
    </w:p>
    <w:p w:rsidR="00FB5F9C" w:rsidRPr="000944EE" w:rsidRDefault="00FB5F9C" w:rsidP="00FB5F9C">
      <w:pPr>
        <w:pStyle w:val="afd"/>
        <w:widowControl w:val="0"/>
        <w:numPr>
          <w:ilvl w:val="0"/>
          <w:numId w:val="25"/>
        </w:numPr>
        <w:rPr>
          <w:rFonts w:eastAsiaTheme="majorEastAsia"/>
          <w:szCs w:val="24"/>
          <w:lang w:eastAsia="ru-RU"/>
        </w:rPr>
      </w:pPr>
      <w:r w:rsidRPr="000944EE">
        <w:rPr>
          <w:rFonts w:eastAsiaTheme="majorEastAsia"/>
          <w:szCs w:val="24"/>
          <w:lang w:eastAsia="ru-RU"/>
        </w:rPr>
        <w:t>Развитие угрожающих жизни цитопений (глубокой анемии, геморрагического синдрома, нейтропении).</w:t>
      </w:r>
    </w:p>
    <w:p w:rsidR="00FB5F9C" w:rsidRPr="000944EE" w:rsidRDefault="00FB5F9C" w:rsidP="00FB5F9C">
      <w:pPr>
        <w:pStyle w:val="afd"/>
        <w:widowControl w:val="0"/>
        <w:numPr>
          <w:ilvl w:val="0"/>
          <w:numId w:val="25"/>
        </w:numPr>
        <w:rPr>
          <w:rFonts w:eastAsiaTheme="majorEastAsia"/>
          <w:szCs w:val="24"/>
          <w:lang w:eastAsia="ru-RU"/>
        </w:rPr>
      </w:pPr>
      <w:r w:rsidRPr="000944EE">
        <w:rPr>
          <w:rFonts w:eastAsiaTheme="majorEastAsia"/>
          <w:szCs w:val="24"/>
          <w:lang w:eastAsia="ru-RU"/>
        </w:rPr>
        <w:t xml:space="preserve">Развитие осложнений синдрома Сезари, угрожающих жизни. </w:t>
      </w:r>
    </w:p>
    <w:p w:rsidR="00FB5F9C" w:rsidRPr="000944EE" w:rsidRDefault="00FB5F9C" w:rsidP="00FB5F9C">
      <w:pPr>
        <w:pStyle w:val="afd"/>
        <w:widowControl w:val="0"/>
        <w:numPr>
          <w:ilvl w:val="0"/>
          <w:numId w:val="25"/>
        </w:numPr>
        <w:rPr>
          <w:rFonts w:eastAsiaTheme="majorEastAsia"/>
          <w:szCs w:val="24"/>
          <w:lang w:eastAsia="ru-RU"/>
        </w:rPr>
      </w:pPr>
      <w:r w:rsidRPr="000944EE">
        <w:rPr>
          <w:rFonts w:eastAsiaTheme="majorEastAsia"/>
          <w:szCs w:val="24"/>
          <w:lang w:eastAsia="ru-RU"/>
        </w:rPr>
        <w:t>Развитие осложнений терапии, включая синдром лизиса опухоли, тяжелые инфузионные реакции, миелотоксический агранулоцитоз с лихорадкой и другие осложнения, угрожающие жизни.</w:t>
      </w:r>
    </w:p>
    <w:p w:rsidR="00FB5F9C" w:rsidRPr="000944EE" w:rsidRDefault="00FB5F9C" w:rsidP="00FB5F9C">
      <w:pPr>
        <w:pStyle w:val="aff7"/>
      </w:pPr>
      <w:r w:rsidRPr="000944EE">
        <w:lastRenderedPageBreak/>
        <w:t xml:space="preserve">Показания к выписке пациента из </w:t>
      </w:r>
      <w:r w:rsidRPr="000944EE">
        <w:rPr>
          <w:color w:val="000000"/>
          <w:lang w:eastAsia="ru-RU" w:bidi="ru-RU"/>
        </w:rPr>
        <w:t>медицинск</w:t>
      </w:r>
      <w:r w:rsidRPr="000944EE">
        <w:rPr>
          <w:color w:val="000000"/>
          <w:lang w:bidi="ru-RU"/>
        </w:rPr>
        <w:t xml:space="preserve">ой </w:t>
      </w:r>
      <w:r w:rsidRPr="000944EE">
        <w:rPr>
          <w:color w:val="000000"/>
          <w:lang w:eastAsia="ru-RU" w:bidi="ru-RU"/>
        </w:rPr>
        <w:t>организаци</w:t>
      </w:r>
      <w:r w:rsidRPr="000944EE">
        <w:rPr>
          <w:color w:val="000000"/>
          <w:lang w:bidi="ru-RU"/>
        </w:rPr>
        <w:t>и:</w:t>
      </w:r>
    </w:p>
    <w:p w:rsidR="00FB5F9C" w:rsidRPr="000944EE" w:rsidRDefault="00FB5F9C" w:rsidP="00FB5F9C">
      <w:pPr>
        <w:pStyle w:val="17"/>
        <w:numPr>
          <w:ilvl w:val="0"/>
          <w:numId w:val="27"/>
        </w:numPr>
        <w:ind w:left="1134"/>
      </w:pPr>
      <w:r w:rsidRPr="000944EE">
        <w:t>частичный или полный регресс высыпаний.</w:t>
      </w:r>
    </w:p>
    <w:p w:rsidR="009B4039" w:rsidRPr="000944EE" w:rsidRDefault="00FB5F9C" w:rsidP="00FB5F9C">
      <w:pPr>
        <w:pStyle w:val="17"/>
        <w:numPr>
          <w:ilvl w:val="0"/>
          <w:numId w:val="27"/>
        </w:numPr>
        <w:ind w:left="1134"/>
      </w:pPr>
      <w:r w:rsidRPr="000944EE">
        <w:t>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rsidR="00CB562F" w:rsidRPr="000944EE" w:rsidRDefault="00C4630C" w:rsidP="00C4630C">
      <w:pPr>
        <w:pStyle w:val="afff1"/>
      </w:pPr>
      <w:bookmarkStart w:id="63" w:name="_Toc36831361"/>
      <w:bookmarkStart w:id="64" w:name="_Toc34301094"/>
      <w:r w:rsidRPr="000944EE">
        <w:t xml:space="preserve">7. </w:t>
      </w:r>
      <w:r w:rsidR="00CB71DA" w:rsidRPr="000944EE">
        <w:t>Дополнительная инфор</w:t>
      </w:r>
      <w:r w:rsidR="009B4039" w:rsidRPr="000944EE">
        <w:t>мация (</w:t>
      </w:r>
      <w:r w:rsidR="00A43CE5" w:rsidRPr="000944EE">
        <w:t>в том числе факторы, влияющие на</w:t>
      </w:r>
      <w:r w:rsidR="00CB71DA" w:rsidRPr="000944EE">
        <w:t xml:space="preserve"> исход заболевания</w:t>
      </w:r>
      <w:bookmarkEnd w:id="60"/>
      <w:r w:rsidR="002F591F">
        <w:t xml:space="preserve"> </w:t>
      </w:r>
      <w:r w:rsidR="00A43CE5" w:rsidRPr="000944EE">
        <w:t>или состояния)</w:t>
      </w:r>
      <w:bookmarkEnd w:id="63"/>
      <w:bookmarkEnd w:id="64"/>
    </w:p>
    <w:p w:rsidR="00CE1EE5" w:rsidRPr="000944EE" w:rsidRDefault="00CE1EE5" w:rsidP="00CE1EE5">
      <w:pPr>
        <w:ind w:left="357"/>
        <w:rPr>
          <w:szCs w:val="24"/>
        </w:rPr>
      </w:pPr>
      <w:bookmarkStart w:id="65" w:name="__RefHeading___doc_criteria"/>
      <w:r w:rsidRPr="000944EE">
        <w:rPr>
          <w:szCs w:val="24"/>
        </w:rPr>
        <w:t>Факторами, влияющими на прогноз заболевания, являются:</w:t>
      </w:r>
    </w:p>
    <w:p w:rsidR="00CE1EE5" w:rsidRPr="000944EE" w:rsidRDefault="00CE1EE5" w:rsidP="00CE1EE5">
      <w:pPr>
        <w:numPr>
          <w:ilvl w:val="0"/>
          <w:numId w:val="30"/>
        </w:numPr>
        <w:tabs>
          <w:tab w:val="left" w:pos="567"/>
        </w:tabs>
        <w:ind w:firstLine="273"/>
        <w:rPr>
          <w:szCs w:val="24"/>
        </w:rPr>
      </w:pPr>
      <w:r w:rsidRPr="000944EE">
        <w:rPr>
          <w:szCs w:val="24"/>
        </w:rPr>
        <w:t>возраст пациента</w:t>
      </w:r>
    </w:p>
    <w:p w:rsidR="00CE1EE5" w:rsidRPr="000944EE" w:rsidRDefault="00CE1EE5" w:rsidP="00CE1EE5">
      <w:pPr>
        <w:numPr>
          <w:ilvl w:val="0"/>
          <w:numId w:val="30"/>
        </w:numPr>
        <w:tabs>
          <w:tab w:val="left" w:pos="567"/>
        </w:tabs>
        <w:ind w:firstLine="273"/>
        <w:rPr>
          <w:szCs w:val="24"/>
        </w:rPr>
      </w:pPr>
      <w:r w:rsidRPr="000944EE">
        <w:rPr>
          <w:szCs w:val="24"/>
        </w:rPr>
        <w:t>повышение уровня ЛДГ крови</w:t>
      </w:r>
    </w:p>
    <w:p w:rsidR="00CE1EE5" w:rsidRPr="000944EE" w:rsidRDefault="00CE1EE5" w:rsidP="00CE1EE5">
      <w:pPr>
        <w:numPr>
          <w:ilvl w:val="0"/>
          <w:numId w:val="30"/>
        </w:numPr>
        <w:tabs>
          <w:tab w:val="left" w:pos="567"/>
        </w:tabs>
        <w:ind w:firstLine="273"/>
        <w:rPr>
          <w:szCs w:val="24"/>
        </w:rPr>
      </w:pPr>
      <w:r w:rsidRPr="000944EE">
        <w:rPr>
          <w:szCs w:val="24"/>
        </w:rPr>
        <w:t>поражение лимфатических узлов</w:t>
      </w:r>
    </w:p>
    <w:p w:rsidR="00CE1EE5" w:rsidRPr="000944EE" w:rsidRDefault="00CE1EE5" w:rsidP="00CE1EE5">
      <w:pPr>
        <w:numPr>
          <w:ilvl w:val="0"/>
          <w:numId w:val="30"/>
        </w:numPr>
        <w:tabs>
          <w:tab w:val="left" w:pos="567"/>
        </w:tabs>
        <w:ind w:firstLine="273"/>
        <w:rPr>
          <w:szCs w:val="24"/>
        </w:rPr>
      </w:pPr>
      <w:r w:rsidRPr="000944EE">
        <w:rPr>
          <w:szCs w:val="24"/>
        </w:rPr>
        <w:t>степень тяжести вовлечения крови</w:t>
      </w:r>
    </w:p>
    <w:p w:rsidR="000414F6" w:rsidRPr="000944EE" w:rsidRDefault="00CB71DA" w:rsidP="00B104EF">
      <w:pPr>
        <w:pStyle w:val="CustomContentNormal"/>
      </w:pPr>
      <w:bookmarkStart w:id="66" w:name="_Toc36831362"/>
      <w:bookmarkStart w:id="67" w:name="_Toc34301095"/>
      <w:r w:rsidRPr="000944EE">
        <w:t>Критерии оценки качества медицинской помощи</w:t>
      </w:r>
      <w:bookmarkEnd w:id="65"/>
      <w:bookmarkEnd w:id="66"/>
      <w:bookmarkEnd w:id="67"/>
    </w:p>
    <w:p w:rsidR="00F43A47" w:rsidRPr="000F7897" w:rsidRDefault="00F43A47" w:rsidP="000F7897">
      <w:pPr>
        <w:jc w:val="center"/>
        <w:rPr>
          <w:b/>
        </w:rPr>
      </w:pPr>
      <w:r w:rsidRPr="000F7897">
        <w:rPr>
          <w:b/>
        </w:rPr>
        <w:t>Критерии оценки качества медицинской помощи синдром Сезари  (амбулаторный этап)</w:t>
      </w:r>
    </w:p>
    <w:tbl>
      <w:tblPr>
        <w:tblStyle w:val="aff8"/>
        <w:tblW w:w="9039" w:type="dxa"/>
        <w:tblLayout w:type="fixed"/>
        <w:tblLook w:val="04A0"/>
      </w:tblPr>
      <w:tblGrid>
        <w:gridCol w:w="534"/>
        <w:gridCol w:w="5811"/>
        <w:gridCol w:w="2694"/>
      </w:tblGrid>
      <w:tr w:rsidR="00F43A47" w:rsidTr="000F7897">
        <w:tc>
          <w:tcPr>
            <w:tcW w:w="534" w:type="dxa"/>
          </w:tcPr>
          <w:p w:rsidR="00F43A47" w:rsidRPr="000F7897" w:rsidRDefault="00F43A47" w:rsidP="000F7897">
            <w:pPr>
              <w:ind w:firstLine="142"/>
              <w:rPr>
                <w:b/>
              </w:rPr>
            </w:pPr>
            <w:r w:rsidRPr="000F7897">
              <w:rPr>
                <w:b/>
              </w:rPr>
              <w:t>№</w:t>
            </w:r>
          </w:p>
        </w:tc>
        <w:tc>
          <w:tcPr>
            <w:tcW w:w="5811" w:type="dxa"/>
          </w:tcPr>
          <w:p w:rsidR="00F43A47" w:rsidRPr="000F7897" w:rsidRDefault="00F43A47" w:rsidP="00490D13">
            <w:pPr>
              <w:rPr>
                <w:b/>
              </w:rPr>
            </w:pPr>
            <w:r w:rsidRPr="000F7897">
              <w:rPr>
                <w:b/>
              </w:rPr>
              <w:t xml:space="preserve">Критерии качества </w:t>
            </w:r>
          </w:p>
        </w:tc>
        <w:tc>
          <w:tcPr>
            <w:tcW w:w="2694" w:type="dxa"/>
          </w:tcPr>
          <w:p w:rsidR="00F43A47" w:rsidRPr="000F7897" w:rsidRDefault="00F43A47" w:rsidP="000F7897">
            <w:pPr>
              <w:ind w:firstLine="176"/>
              <w:rPr>
                <w:b/>
              </w:rPr>
            </w:pPr>
            <w:r w:rsidRPr="000F7897">
              <w:rPr>
                <w:b/>
              </w:rPr>
              <w:t>Оценка выполнения</w:t>
            </w:r>
          </w:p>
        </w:tc>
      </w:tr>
      <w:tr w:rsidR="00F43A47" w:rsidTr="000F7897">
        <w:tc>
          <w:tcPr>
            <w:tcW w:w="534" w:type="dxa"/>
          </w:tcPr>
          <w:p w:rsidR="00F43A47" w:rsidRDefault="00F43A47" w:rsidP="000F7897">
            <w:pPr>
              <w:ind w:firstLine="142"/>
            </w:pPr>
            <w:r>
              <w:t>1</w:t>
            </w:r>
          </w:p>
        </w:tc>
        <w:tc>
          <w:tcPr>
            <w:tcW w:w="5811" w:type="dxa"/>
          </w:tcPr>
          <w:p w:rsidR="00F43A47" w:rsidRDefault="00F43A47" w:rsidP="00490D13">
            <w:r>
              <w:t xml:space="preserve">Пациенту с подозрением на синдром Сезари (СС) или с выявленным СС при первичном или повторном приеме, при контрольных исследованиях, а также при рецидиве или прогрессировании,  выполнен общий (клинический) анализ крови развернутый </w:t>
            </w:r>
          </w:p>
        </w:tc>
        <w:tc>
          <w:tcPr>
            <w:tcW w:w="2694" w:type="dxa"/>
          </w:tcPr>
          <w:p w:rsidR="00F43A47" w:rsidRDefault="00F43A47" w:rsidP="00490D13">
            <w:r>
              <w:t>Да\Нет</w:t>
            </w:r>
          </w:p>
        </w:tc>
      </w:tr>
      <w:tr w:rsidR="00F43A47" w:rsidTr="000F7897">
        <w:tc>
          <w:tcPr>
            <w:tcW w:w="534" w:type="dxa"/>
          </w:tcPr>
          <w:p w:rsidR="00F43A47" w:rsidRDefault="00F43A47" w:rsidP="000F7897">
            <w:pPr>
              <w:ind w:firstLine="142"/>
            </w:pPr>
            <w:r>
              <w:t>2</w:t>
            </w:r>
          </w:p>
        </w:tc>
        <w:tc>
          <w:tcPr>
            <w:tcW w:w="5811" w:type="dxa"/>
          </w:tcPr>
          <w:p w:rsidR="00F43A47" w:rsidRDefault="00F43A47" w:rsidP="00490D13">
            <w:r>
              <w:t xml:space="preserve">Пациенту с подозрением на СС  при установлении диагноза, а также при прогрессировании выполнено патолого-анатомическое исследование биопсийного материала кожи </w:t>
            </w:r>
          </w:p>
        </w:tc>
        <w:tc>
          <w:tcPr>
            <w:tcW w:w="2694" w:type="dxa"/>
          </w:tcPr>
          <w:p w:rsidR="00F43A47" w:rsidRDefault="00F43A47" w:rsidP="00490D13">
            <w:r>
              <w:t>Да\Нет</w:t>
            </w:r>
          </w:p>
          <w:p w:rsidR="00F43A47" w:rsidRDefault="00F43A47" w:rsidP="00490D13"/>
        </w:tc>
      </w:tr>
      <w:tr w:rsidR="00F43A47" w:rsidTr="000F7897">
        <w:tc>
          <w:tcPr>
            <w:tcW w:w="534" w:type="dxa"/>
          </w:tcPr>
          <w:p w:rsidR="00F43A47" w:rsidRDefault="00F43A47" w:rsidP="000F7897">
            <w:pPr>
              <w:ind w:firstLine="142"/>
            </w:pPr>
            <w:r>
              <w:t>3</w:t>
            </w:r>
          </w:p>
        </w:tc>
        <w:tc>
          <w:tcPr>
            <w:tcW w:w="5811" w:type="dxa"/>
          </w:tcPr>
          <w:p w:rsidR="00F43A47" w:rsidRDefault="00F43A47" w:rsidP="006D29B6">
            <w:r>
              <w:t xml:space="preserve">Пациенту с подозрением на СС или с выявленным СС, а также при рецидиве или прогрессировании, при установлении диагноза или </w:t>
            </w:r>
            <w:r>
              <w:lastRenderedPageBreak/>
              <w:t xml:space="preserve">для оценки эффективности в период терапии (при выявлении патологических изменений), выполнены инструментальные методы исследования (УЗИ периферических </w:t>
            </w:r>
            <w:proofErr w:type="spellStart"/>
            <w:r>
              <w:t>лимфоузлов</w:t>
            </w:r>
            <w:proofErr w:type="spellEnd"/>
            <w:r>
              <w:t>,</w:t>
            </w:r>
            <w:proofErr w:type="gramStart"/>
            <w:r>
              <w:t xml:space="preserve"> ,</w:t>
            </w:r>
            <w:proofErr w:type="gramEnd"/>
            <w:r>
              <w:t xml:space="preserve"> </w:t>
            </w:r>
            <w:r w:rsidR="006D29B6" w:rsidRPr="00DE7BBA">
              <w:t>компьютерная томография органов грудной полости</w:t>
            </w:r>
            <w:r w:rsidR="006D29B6">
              <w:t>,</w:t>
            </w:r>
            <w:r w:rsidR="006D29B6" w:rsidRPr="000E54DB">
              <w:t xml:space="preserve"> </w:t>
            </w:r>
            <w:r w:rsidR="006D29B6" w:rsidRPr="00DF267B">
              <w:t xml:space="preserve">органов брюшной полости </w:t>
            </w:r>
          </w:p>
        </w:tc>
        <w:tc>
          <w:tcPr>
            <w:tcW w:w="2694" w:type="dxa"/>
          </w:tcPr>
          <w:p w:rsidR="00F43A47" w:rsidRDefault="00F43A47" w:rsidP="00490D13">
            <w:r>
              <w:lastRenderedPageBreak/>
              <w:t>Да\Нет</w:t>
            </w:r>
          </w:p>
        </w:tc>
      </w:tr>
      <w:tr w:rsidR="00F43A47" w:rsidTr="000F7897">
        <w:trPr>
          <w:trHeight w:val="414"/>
        </w:trPr>
        <w:tc>
          <w:tcPr>
            <w:tcW w:w="534" w:type="dxa"/>
          </w:tcPr>
          <w:p w:rsidR="00F43A47" w:rsidRDefault="00F43A47" w:rsidP="000F7897">
            <w:pPr>
              <w:ind w:firstLine="142"/>
            </w:pPr>
            <w:r>
              <w:lastRenderedPageBreak/>
              <w:t>4</w:t>
            </w:r>
          </w:p>
        </w:tc>
        <w:tc>
          <w:tcPr>
            <w:tcW w:w="5811" w:type="dxa"/>
          </w:tcPr>
          <w:p w:rsidR="00F43A47" w:rsidRDefault="00F43A47" w:rsidP="007D0B2F">
            <w:r>
              <w:t xml:space="preserve">Пациенту при установлении диагноза СС выполнено </w:t>
            </w:r>
            <w:proofErr w:type="spellStart"/>
            <w:proofErr w:type="gramStart"/>
            <w:r w:rsidR="007D0B2F" w:rsidRPr="00305BCA">
              <w:t>патолого-анатомическое</w:t>
            </w:r>
            <w:proofErr w:type="spellEnd"/>
            <w:proofErr w:type="gramEnd"/>
            <w:r w:rsidR="007D0B2F" w:rsidRPr="00305BCA">
              <w:t xml:space="preserve"> исследование </w:t>
            </w:r>
            <w:proofErr w:type="spellStart"/>
            <w:r w:rsidR="007D0B2F" w:rsidRPr="00305BCA">
              <w:t>биопсийного</w:t>
            </w:r>
            <w:proofErr w:type="spellEnd"/>
            <w:r w:rsidR="007D0B2F" w:rsidRPr="00305BCA">
              <w:t xml:space="preserve"> (операционного) материала костного мозга</w:t>
            </w:r>
            <w:r>
              <w:t xml:space="preserve"> </w:t>
            </w:r>
          </w:p>
        </w:tc>
        <w:tc>
          <w:tcPr>
            <w:tcW w:w="2694" w:type="dxa"/>
          </w:tcPr>
          <w:p w:rsidR="00F43A47" w:rsidRDefault="00F43A47" w:rsidP="00490D13">
            <w:r>
              <w:t>Да</w:t>
            </w:r>
            <w:proofErr w:type="gramStart"/>
            <w:r>
              <w:t>\Н</w:t>
            </w:r>
            <w:proofErr w:type="gramEnd"/>
            <w:r>
              <w:t>ет</w:t>
            </w:r>
          </w:p>
        </w:tc>
      </w:tr>
      <w:tr w:rsidR="00F43A47" w:rsidTr="000F7897">
        <w:trPr>
          <w:trHeight w:val="414"/>
        </w:trPr>
        <w:tc>
          <w:tcPr>
            <w:tcW w:w="534" w:type="dxa"/>
          </w:tcPr>
          <w:p w:rsidR="00F43A47" w:rsidRDefault="00F43A47" w:rsidP="000F7897">
            <w:pPr>
              <w:ind w:firstLine="142"/>
            </w:pPr>
            <w:r>
              <w:t>5</w:t>
            </w:r>
          </w:p>
        </w:tc>
        <w:tc>
          <w:tcPr>
            <w:tcW w:w="5811" w:type="dxa"/>
          </w:tcPr>
          <w:p w:rsidR="00F43A47" w:rsidRDefault="00F43A47" w:rsidP="00490D13">
            <w:r w:rsidRPr="00E214B3">
              <w:t>Пациенту с  впервые выявленным СС выполнено иммунофенотипирование лимфоцитов периферической крови или костного мозга</w:t>
            </w:r>
          </w:p>
        </w:tc>
        <w:tc>
          <w:tcPr>
            <w:tcW w:w="2694" w:type="dxa"/>
          </w:tcPr>
          <w:p w:rsidR="00F43A47" w:rsidRDefault="00F43A47" w:rsidP="00490D13">
            <w:r>
              <w:t xml:space="preserve">Да\Нет </w:t>
            </w:r>
          </w:p>
        </w:tc>
      </w:tr>
      <w:tr w:rsidR="00F43A47" w:rsidTr="000F7897">
        <w:trPr>
          <w:trHeight w:val="414"/>
        </w:trPr>
        <w:tc>
          <w:tcPr>
            <w:tcW w:w="534" w:type="dxa"/>
          </w:tcPr>
          <w:p w:rsidR="00F43A47" w:rsidRDefault="00F43A47" w:rsidP="000F7897">
            <w:pPr>
              <w:ind w:firstLine="142"/>
            </w:pPr>
            <w:r>
              <w:t>6</w:t>
            </w:r>
          </w:p>
        </w:tc>
        <w:tc>
          <w:tcPr>
            <w:tcW w:w="5811" w:type="dxa"/>
          </w:tcPr>
          <w:p w:rsidR="00F43A47" w:rsidRDefault="00F43A47" w:rsidP="00490D13">
            <w:r>
              <w:t xml:space="preserve">Пациенту с впервые выявленным СС, при рецидиве или прогрессировании, выполнена системная или комбинированная (системная и локальная) терапия </w:t>
            </w:r>
          </w:p>
        </w:tc>
        <w:tc>
          <w:tcPr>
            <w:tcW w:w="2694" w:type="dxa"/>
          </w:tcPr>
          <w:p w:rsidR="00F43A47" w:rsidRDefault="00F43A47" w:rsidP="00490D13">
            <w:r>
              <w:t>Да\Нет</w:t>
            </w:r>
          </w:p>
        </w:tc>
      </w:tr>
    </w:tbl>
    <w:p w:rsidR="00F43A47" w:rsidRDefault="00F43A47" w:rsidP="00F43A47"/>
    <w:p w:rsidR="00F43A47" w:rsidRDefault="00F43A47" w:rsidP="000F7897">
      <w:pPr>
        <w:jc w:val="center"/>
      </w:pPr>
    </w:p>
    <w:p w:rsidR="00F43A47" w:rsidRPr="000F7897" w:rsidRDefault="00F43A47" w:rsidP="000F7897">
      <w:pPr>
        <w:jc w:val="center"/>
        <w:rPr>
          <w:b/>
        </w:rPr>
      </w:pPr>
      <w:r w:rsidRPr="000F7897">
        <w:rPr>
          <w:b/>
        </w:rPr>
        <w:t>Критерии оценки качества медицинской помощи синдром Сезари  (стационарный этап)</w:t>
      </w:r>
    </w:p>
    <w:tbl>
      <w:tblPr>
        <w:tblStyle w:val="aff8"/>
        <w:tblW w:w="9606" w:type="dxa"/>
        <w:tblLayout w:type="fixed"/>
        <w:tblLook w:val="04A0"/>
      </w:tblPr>
      <w:tblGrid>
        <w:gridCol w:w="817"/>
        <w:gridCol w:w="6237"/>
        <w:gridCol w:w="2552"/>
      </w:tblGrid>
      <w:tr w:rsidR="00F43A47" w:rsidRPr="000F7897" w:rsidTr="000F7897">
        <w:tc>
          <w:tcPr>
            <w:tcW w:w="817" w:type="dxa"/>
          </w:tcPr>
          <w:p w:rsidR="00F43A47" w:rsidRPr="000F7897" w:rsidRDefault="00F43A47" w:rsidP="000F7897">
            <w:pPr>
              <w:ind w:firstLine="284"/>
              <w:rPr>
                <w:b/>
              </w:rPr>
            </w:pPr>
            <w:r w:rsidRPr="000F7897">
              <w:rPr>
                <w:b/>
              </w:rPr>
              <w:t>№</w:t>
            </w:r>
          </w:p>
        </w:tc>
        <w:tc>
          <w:tcPr>
            <w:tcW w:w="6237" w:type="dxa"/>
          </w:tcPr>
          <w:p w:rsidR="00F43A47" w:rsidRPr="000F7897" w:rsidRDefault="00F43A47" w:rsidP="000F7897">
            <w:pPr>
              <w:spacing w:line="240" w:lineRule="auto"/>
              <w:rPr>
                <w:b/>
              </w:rPr>
            </w:pPr>
            <w:r w:rsidRPr="000F7897">
              <w:rPr>
                <w:b/>
              </w:rPr>
              <w:t xml:space="preserve">Критерии качества </w:t>
            </w:r>
          </w:p>
        </w:tc>
        <w:tc>
          <w:tcPr>
            <w:tcW w:w="2552" w:type="dxa"/>
          </w:tcPr>
          <w:p w:rsidR="00F43A47" w:rsidRPr="000F7897" w:rsidRDefault="00F43A47" w:rsidP="000F7897">
            <w:pPr>
              <w:spacing w:line="240" w:lineRule="auto"/>
              <w:ind w:firstLine="175"/>
              <w:rPr>
                <w:b/>
              </w:rPr>
            </w:pPr>
            <w:r w:rsidRPr="000F7897">
              <w:rPr>
                <w:b/>
              </w:rPr>
              <w:t>Оценка выполнения</w:t>
            </w:r>
          </w:p>
        </w:tc>
      </w:tr>
      <w:tr w:rsidR="00F43A47" w:rsidTr="000F7897">
        <w:tc>
          <w:tcPr>
            <w:tcW w:w="817" w:type="dxa"/>
          </w:tcPr>
          <w:p w:rsidR="00F43A47" w:rsidRDefault="00F43A47" w:rsidP="000F7897">
            <w:pPr>
              <w:ind w:firstLine="284"/>
            </w:pPr>
            <w:r>
              <w:t>1</w:t>
            </w:r>
          </w:p>
        </w:tc>
        <w:tc>
          <w:tcPr>
            <w:tcW w:w="6237" w:type="dxa"/>
          </w:tcPr>
          <w:p w:rsidR="00F43A47" w:rsidRDefault="00F43A47" w:rsidP="00490D13">
            <w:r>
              <w:t>Пациенту с подозрением на синдром Сезари (СС) или с выявленным СС при первичном или повторном приеме, при контрольных исследованиях, а также при рецидиве или прогрессировании,  выполнен общий (клинический) анализ крови развернутый (если не выполнено в амбулаторных условиях)</w:t>
            </w:r>
          </w:p>
        </w:tc>
        <w:tc>
          <w:tcPr>
            <w:tcW w:w="2552" w:type="dxa"/>
          </w:tcPr>
          <w:p w:rsidR="00F43A47" w:rsidRDefault="00F43A47" w:rsidP="000F7897">
            <w:pPr>
              <w:ind w:firstLine="175"/>
            </w:pPr>
            <w:r>
              <w:t>Да\Нет</w:t>
            </w:r>
          </w:p>
        </w:tc>
      </w:tr>
      <w:tr w:rsidR="00F43A47" w:rsidTr="000F7897">
        <w:tc>
          <w:tcPr>
            <w:tcW w:w="817" w:type="dxa"/>
          </w:tcPr>
          <w:p w:rsidR="00F43A47" w:rsidRDefault="00F43A47" w:rsidP="000F7897">
            <w:pPr>
              <w:ind w:firstLine="284"/>
            </w:pPr>
            <w:r>
              <w:t>2</w:t>
            </w:r>
          </w:p>
        </w:tc>
        <w:tc>
          <w:tcPr>
            <w:tcW w:w="6237" w:type="dxa"/>
          </w:tcPr>
          <w:p w:rsidR="00F43A47" w:rsidRDefault="00F43A47" w:rsidP="00490D13">
            <w:r>
              <w:t>Пациенту с подозрением на СС  при установлении диагноза, а также при прогрессировании выполнено патолого-анатомическое исследование биопсийного материала кожи (если не выполнено в амбулаторных условиях)</w:t>
            </w:r>
          </w:p>
        </w:tc>
        <w:tc>
          <w:tcPr>
            <w:tcW w:w="2552" w:type="dxa"/>
          </w:tcPr>
          <w:p w:rsidR="00F43A47" w:rsidRDefault="00F43A47" w:rsidP="000F7897">
            <w:pPr>
              <w:ind w:firstLine="175"/>
            </w:pPr>
            <w:r>
              <w:t>Да\Нет</w:t>
            </w:r>
          </w:p>
          <w:p w:rsidR="00F43A47" w:rsidRDefault="00F43A47" w:rsidP="000F7897">
            <w:pPr>
              <w:ind w:firstLine="175"/>
            </w:pPr>
          </w:p>
        </w:tc>
      </w:tr>
      <w:tr w:rsidR="00F43A47" w:rsidTr="000F7897">
        <w:tc>
          <w:tcPr>
            <w:tcW w:w="817" w:type="dxa"/>
          </w:tcPr>
          <w:p w:rsidR="00F43A47" w:rsidRDefault="00F43A47" w:rsidP="000F7897">
            <w:pPr>
              <w:ind w:firstLine="284"/>
            </w:pPr>
            <w:r>
              <w:lastRenderedPageBreak/>
              <w:t>3</w:t>
            </w:r>
          </w:p>
        </w:tc>
        <w:tc>
          <w:tcPr>
            <w:tcW w:w="6237" w:type="dxa"/>
          </w:tcPr>
          <w:p w:rsidR="00F43A47" w:rsidRDefault="00F43A47" w:rsidP="006D29B6">
            <w:r>
              <w:t xml:space="preserve">Пациенту с подозрением на СС или с выявленным СС, а также при рецидиве или прогрессировании, при установлении диагноза или для оценки эффективности в период терапии (при выявлении патологических изменений), выполнены инструментальные методы исследования (УЗИ периферических </w:t>
            </w:r>
            <w:proofErr w:type="spellStart"/>
            <w:r>
              <w:t>лимфоузлов</w:t>
            </w:r>
            <w:proofErr w:type="spellEnd"/>
            <w:r>
              <w:t xml:space="preserve">, </w:t>
            </w:r>
            <w:r w:rsidR="006D29B6" w:rsidRPr="00DE7BBA">
              <w:t xml:space="preserve"> компьютерная томография органов грудной полости</w:t>
            </w:r>
            <w:r w:rsidR="006D29B6">
              <w:t>,</w:t>
            </w:r>
            <w:r w:rsidR="006D29B6" w:rsidRPr="000E54DB">
              <w:t xml:space="preserve"> </w:t>
            </w:r>
            <w:r w:rsidR="006D29B6" w:rsidRPr="00DF267B">
              <w:t>органов брюшной полости</w:t>
            </w:r>
            <w:r w:rsidR="00B77C56" w:rsidRPr="006D29B6">
              <w:t>)</w:t>
            </w:r>
            <w:r w:rsidRPr="006D29B6">
              <w:t>,</w:t>
            </w:r>
            <w:r>
              <w:t xml:space="preserve"> если не выполнено в амбулаторных условиях</w:t>
            </w:r>
          </w:p>
        </w:tc>
        <w:tc>
          <w:tcPr>
            <w:tcW w:w="2552" w:type="dxa"/>
          </w:tcPr>
          <w:p w:rsidR="00F43A47" w:rsidRDefault="00F43A47" w:rsidP="000F7897">
            <w:pPr>
              <w:ind w:firstLine="175"/>
            </w:pPr>
            <w:r>
              <w:t>Да\Нет</w:t>
            </w:r>
          </w:p>
        </w:tc>
      </w:tr>
      <w:tr w:rsidR="00F43A47" w:rsidTr="000F7897">
        <w:trPr>
          <w:trHeight w:val="414"/>
        </w:trPr>
        <w:tc>
          <w:tcPr>
            <w:tcW w:w="817" w:type="dxa"/>
          </w:tcPr>
          <w:p w:rsidR="00F43A47" w:rsidRDefault="00F43A47" w:rsidP="000F7897">
            <w:pPr>
              <w:ind w:firstLine="284"/>
            </w:pPr>
            <w:r>
              <w:t>4</w:t>
            </w:r>
          </w:p>
        </w:tc>
        <w:tc>
          <w:tcPr>
            <w:tcW w:w="6237" w:type="dxa"/>
          </w:tcPr>
          <w:p w:rsidR="00F43A47" w:rsidRDefault="00F43A47" w:rsidP="009636A2">
            <w:r>
              <w:t xml:space="preserve">Пациенту при установлении диагноза СС выполнено </w:t>
            </w:r>
          </w:p>
          <w:p w:rsidR="009636A2" w:rsidRDefault="009636A2" w:rsidP="009636A2"/>
        </w:tc>
        <w:tc>
          <w:tcPr>
            <w:tcW w:w="2552" w:type="dxa"/>
          </w:tcPr>
          <w:p w:rsidR="00F43A47" w:rsidRDefault="00F43A47" w:rsidP="000F7897">
            <w:pPr>
              <w:ind w:firstLine="175"/>
            </w:pPr>
            <w:r>
              <w:t>Да\Нет</w:t>
            </w:r>
          </w:p>
        </w:tc>
      </w:tr>
      <w:tr w:rsidR="00F43A47" w:rsidTr="000F7897">
        <w:trPr>
          <w:trHeight w:val="414"/>
        </w:trPr>
        <w:tc>
          <w:tcPr>
            <w:tcW w:w="817" w:type="dxa"/>
          </w:tcPr>
          <w:p w:rsidR="00F43A47" w:rsidRDefault="00F43A47" w:rsidP="000F7897">
            <w:pPr>
              <w:ind w:firstLine="284"/>
            </w:pPr>
            <w:r>
              <w:t>5</w:t>
            </w:r>
          </w:p>
        </w:tc>
        <w:tc>
          <w:tcPr>
            <w:tcW w:w="6237" w:type="dxa"/>
          </w:tcPr>
          <w:p w:rsidR="00F43A47" w:rsidRDefault="00222CBB" w:rsidP="00490D13">
            <w:r w:rsidRPr="000F7897">
              <w:t>Пациенту с  впервые выявленным СС выполнено иммунофенотипирование лимфоцитов периферической крови или костного мозга (если не выполнено в амбулаторных условиях)</w:t>
            </w:r>
          </w:p>
        </w:tc>
        <w:tc>
          <w:tcPr>
            <w:tcW w:w="2552" w:type="dxa"/>
          </w:tcPr>
          <w:p w:rsidR="00F43A47" w:rsidRDefault="00F43A47" w:rsidP="000F7897">
            <w:pPr>
              <w:ind w:firstLine="175"/>
            </w:pPr>
            <w:r>
              <w:t xml:space="preserve">Да\Нет </w:t>
            </w:r>
          </w:p>
        </w:tc>
      </w:tr>
      <w:tr w:rsidR="00F43A47" w:rsidTr="000F7897">
        <w:trPr>
          <w:trHeight w:val="414"/>
        </w:trPr>
        <w:tc>
          <w:tcPr>
            <w:tcW w:w="817" w:type="dxa"/>
          </w:tcPr>
          <w:p w:rsidR="00F43A47" w:rsidRDefault="00F43A47" w:rsidP="000F7897">
            <w:pPr>
              <w:ind w:firstLine="284"/>
            </w:pPr>
            <w:r>
              <w:t>6</w:t>
            </w:r>
          </w:p>
        </w:tc>
        <w:tc>
          <w:tcPr>
            <w:tcW w:w="6237" w:type="dxa"/>
          </w:tcPr>
          <w:p w:rsidR="00F43A47" w:rsidRDefault="00F43A47" w:rsidP="007D0B2F">
            <w:r>
              <w:t xml:space="preserve">Пациенту с впервые выявленным СС, при рецидиве или прогрессировании, выполнена системная </w:t>
            </w:r>
            <w:r w:rsidR="00222CBB" w:rsidRPr="00222CBB">
              <w:t>или комбинированная</w:t>
            </w:r>
            <w:r w:rsidR="007D0B2F">
              <w:t xml:space="preserve"> </w:t>
            </w:r>
            <w:r>
              <w:t xml:space="preserve"> терапия </w:t>
            </w:r>
          </w:p>
        </w:tc>
        <w:tc>
          <w:tcPr>
            <w:tcW w:w="2552" w:type="dxa"/>
          </w:tcPr>
          <w:p w:rsidR="00F43A47" w:rsidRDefault="00F43A47" w:rsidP="000F7897">
            <w:pPr>
              <w:ind w:firstLine="175"/>
            </w:pPr>
            <w:r>
              <w:t>Да\Нет</w:t>
            </w:r>
          </w:p>
        </w:tc>
      </w:tr>
    </w:tbl>
    <w:p w:rsidR="0025228A" w:rsidRPr="000944EE" w:rsidRDefault="0025228A" w:rsidP="00094ED6">
      <w:pPr>
        <w:pStyle w:val="afffa"/>
      </w:pPr>
    </w:p>
    <w:p w:rsidR="00AF3168" w:rsidRDefault="00AF3168" w:rsidP="005627B3">
      <w:pPr>
        <w:ind w:firstLine="0"/>
        <w:rPr>
          <w:b/>
          <w:sz w:val="28"/>
          <w:szCs w:val="28"/>
        </w:rPr>
      </w:pPr>
      <w:bookmarkStart w:id="68" w:name="__RefHeading___doc_bible"/>
      <w:r>
        <w:rPr>
          <w:b/>
          <w:sz w:val="28"/>
          <w:szCs w:val="28"/>
        </w:rPr>
        <w:br w:type="page"/>
      </w:r>
    </w:p>
    <w:p w:rsidR="000414F6" w:rsidRDefault="00CB71DA" w:rsidP="00172112">
      <w:pPr>
        <w:pStyle w:val="CustomContentNormal"/>
      </w:pPr>
      <w:bookmarkStart w:id="69" w:name="_Toc36831363"/>
      <w:bookmarkStart w:id="70" w:name="_Toc34301096"/>
      <w:bookmarkStart w:id="71" w:name="_Hlk36851607"/>
      <w:r>
        <w:lastRenderedPageBreak/>
        <w:t>Список литературы</w:t>
      </w:r>
      <w:bookmarkEnd w:id="68"/>
      <w:bookmarkEnd w:id="69"/>
      <w:bookmarkEnd w:id="70"/>
    </w:p>
    <w:p w:rsidR="0025228A" w:rsidRDefault="0025228A" w:rsidP="0025228A">
      <w:pPr>
        <w:pStyle w:val="aff3"/>
      </w:pPr>
    </w:p>
    <w:p w:rsidR="003F054F" w:rsidRPr="00F63A3F" w:rsidRDefault="003F054F" w:rsidP="003F054F">
      <w:pPr>
        <w:pStyle w:val="afd"/>
        <w:numPr>
          <w:ilvl w:val="0"/>
          <w:numId w:val="28"/>
        </w:numPr>
        <w:ind w:hanging="720"/>
        <w:rPr>
          <w:szCs w:val="24"/>
          <w:lang w:val="en-US"/>
        </w:rPr>
      </w:pPr>
      <w:r w:rsidRPr="00F63A3F">
        <w:rPr>
          <w:szCs w:val="24"/>
          <w:lang w:val="en-US"/>
        </w:rPr>
        <w:t xml:space="preserve">Dummer R., Heald P.W., Nestle F.O. et al. Sezary syndrome T-cell clones display T-helper 2 cytokines and express the accessory factor-1 (interferon-gamma receptor beta-chain). </w:t>
      </w:r>
      <w:r w:rsidRPr="00F63A3F">
        <w:rPr>
          <w:iCs/>
          <w:szCs w:val="24"/>
          <w:lang w:val="en-US"/>
        </w:rPr>
        <w:t>Blood.</w:t>
      </w:r>
      <w:r w:rsidRPr="00095341">
        <w:rPr>
          <w:lang w:val="en-US"/>
        </w:rPr>
        <w:t xml:space="preserve"> </w:t>
      </w:r>
      <w:r w:rsidRPr="00F63A3F">
        <w:rPr>
          <w:szCs w:val="24"/>
          <w:lang w:val="en-US"/>
        </w:rPr>
        <w:t>1996; 88 (4): 1383</w:t>
      </w:r>
      <w:r w:rsidRPr="00F63A3F">
        <w:rPr>
          <w:rFonts w:eastAsia="Times New Roman"/>
          <w:szCs w:val="24"/>
          <w:lang w:val="en-US"/>
        </w:rPr>
        <w:t>–</w:t>
      </w:r>
      <w:r w:rsidRPr="00F63A3F">
        <w:rPr>
          <w:szCs w:val="24"/>
          <w:lang w:val="en-US"/>
        </w:rPr>
        <w:t>1389.</w:t>
      </w:r>
    </w:p>
    <w:p w:rsidR="003F054F" w:rsidRPr="00F63A3F" w:rsidRDefault="003F054F" w:rsidP="003F054F">
      <w:pPr>
        <w:pStyle w:val="afd"/>
        <w:numPr>
          <w:ilvl w:val="0"/>
          <w:numId w:val="28"/>
        </w:numPr>
        <w:ind w:hanging="720"/>
        <w:rPr>
          <w:szCs w:val="24"/>
          <w:lang w:val="en-US"/>
        </w:rPr>
      </w:pPr>
      <w:r w:rsidRPr="00F63A3F">
        <w:rPr>
          <w:szCs w:val="24"/>
          <w:lang w:val="en-US"/>
        </w:rPr>
        <w:t xml:space="preserve">Campbell J.J., Clark R.A., Watanabe R., Kupper T.S. Sezary syndrome and mycosis fungoides arise from distinct T-cell subsets: a biologic rationale for their distinct clinical behaviors. </w:t>
      </w:r>
      <w:r w:rsidRPr="00F63A3F">
        <w:rPr>
          <w:iCs/>
          <w:szCs w:val="24"/>
          <w:lang w:val="en-US"/>
        </w:rPr>
        <w:t>Blood</w:t>
      </w:r>
      <w:r w:rsidRPr="00F63A3F">
        <w:rPr>
          <w:i/>
          <w:iCs/>
          <w:szCs w:val="24"/>
          <w:lang w:val="en-US"/>
        </w:rPr>
        <w:t xml:space="preserve">. </w:t>
      </w:r>
      <w:r w:rsidRPr="00F63A3F">
        <w:rPr>
          <w:szCs w:val="24"/>
          <w:lang w:val="en-US"/>
        </w:rPr>
        <w:t>2010; 116 (5): 767</w:t>
      </w:r>
      <w:r w:rsidRPr="00F63A3F">
        <w:rPr>
          <w:rFonts w:eastAsia="Times New Roman"/>
          <w:szCs w:val="24"/>
          <w:lang w:val="en-US"/>
        </w:rPr>
        <w:t>–</w:t>
      </w:r>
      <w:r w:rsidRPr="00F63A3F">
        <w:rPr>
          <w:szCs w:val="24"/>
          <w:lang w:val="en-US"/>
        </w:rPr>
        <w:t>771.</w:t>
      </w:r>
    </w:p>
    <w:p w:rsidR="003F054F" w:rsidRPr="00F63A3F" w:rsidRDefault="003F054F" w:rsidP="003F054F">
      <w:pPr>
        <w:pStyle w:val="afd"/>
        <w:numPr>
          <w:ilvl w:val="0"/>
          <w:numId w:val="28"/>
        </w:numPr>
        <w:ind w:hanging="720"/>
        <w:rPr>
          <w:szCs w:val="24"/>
          <w:lang w:val="en-US"/>
        </w:rPr>
      </w:pPr>
      <w:r w:rsidRPr="00F63A3F">
        <w:rPr>
          <w:szCs w:val="24"/>
          <w:lang w:val="en-US"/>
        </w:rPr>
        <w:t xml:space="preserve">da Silva Almeida A.C., Abate F., Khiabanian H. et al. The mutational landscape of cutaneous T cell lymphoma and Sezary syndrome. </w:t>
      </w:r>
      <w:r w:rsidRPr="00F63A3F">
        <w:rPr>
          <w:iCs/>
          <w:szCs w:val="24"/>
          <w:lang w:val="en-US"/>
        </w:rPr>
        <w:t>Nat Genet</w:t>
      </w:r>
      <w:r w:rsidRPr="00F63A3F">
        <w:rPr>
          <w:szCs w:val="24"/>
          <w:lang w:val="en-US"/>
        </w:rPr>
        <w:t>. 2015;</w:t>
      </w:r>
      <w:r>
        <w:rPr>
          <w:szCs w:val="24"/>
        </w:rPr>
        <w:t xml:space="preserve"> </w:t>
      </w:r>
      <w:r w:rsidRPr="00F63A3F">
        <w:rPr>
          <w:szCs w:val="24"/>
          <w:lang w:val="en-US"/>
        </w:rPr>
        <w:t>47</w:t>
      </w:r>
      <w:r>
        <w:rPr>
          <w:szCs w:val="24"/>
        </w:rPr>
        <w:t xml:space="preserve"> </w:t>
      </w:r>
      <w:r w:rsidRPr="00F63A3F">
        <w:rPr>
          <w:szCs w:val="24"/>
          <w:lang w:val="en-US"/>
        </w:rPr>
        <w:t>(12):</w:t>
      </w:r>
      <w:r>
        <w:rPr>
          <w:szCs w:val="24"/>
        </w:rPr>
        <w:t xml:space="preserve"> </w:t>
      </w:r>
      <w:r w:rsidRPr="00F63A3F">
        <w:rPr>
          <w:szCs w:val="24"/>
          <w:lang w:val="en-US"/>
        </w:rPr>
        <w:t>1465</w:t>
      </w:r>
      <w:r w:rsidRPr="00F63A3F">
        <w:rPr>
          <w:rFonts w:eastAsia="Times New Roman"/>
          <w:szCs w:val="24"/>
          <w:lang w:val="en-US"/>
        </w:rPr>
        <w:t>–</w:t>
      </w:r>
      <w:r w:rsidRPr="00F63A3F">
        <w:rPr>
          <w:szCs w:val="24"/>
          <w:lang w:val="en-US"/>
        </w:rPr>
        <w:t>1470.</w:t>
      </w:r>
    </w:p>
    <w:p w:rsidR="003F054F" w:rsidRPr="00F63A3F" w:rsidRDefault="003F054F" w:rsidP="003F054F">
      <w:pPr>
        <w:pStyle w:val="afd"/>
        <w:numPr>
          <w:ilvl w:val="0"/>
          <w:numId w:val="28"/>
        </w:numPr>
        <w:ind w:hanging="720"/>
        <w:rPr>
          <w:szCs w:val="24"/>
          <w:lang w:val="en-US"/>
        </w:rPr>
      </w:pPr>
      <w:r w:rsidRPr="00F63A3F">
        <w:rPr>
          <w:szCs w:val="24"/>
          <w:lang w:val="en-US"/>
        </w:rPr>
        <w:t xml:space="preserve">Wang L., Ni X., Covington K.R. et al. Genomic profiling of Sezary syndrome identifies alterations of key T cell signaling and differentiation genes. </w:t>
      </w:r>
      <w:r w:rsidRPr="00F63A3F">
        <w:rPr>
          <w:iCs/>
          <w:szCs w:val="24"/>
          <w:lang w:val="en-US"/>
        </w:rPr>
        <w:t>Nat Genet.</w:t>
      </w:r>
      <w:r w:rsidR="00DE7BBA" w:rsidRPr="00DE7BBA">
        <w:rPr>
          <w:lang w:val="en-US"/>
        </w:rPr>
        <w:t xml:space="preserve"> </w:t>
      </w:r>
      <w:r w:rsidRPr="00F63A3F">
        <w:rPr>
          <w:szCs w:val="24"/>
          <w:lang w:val="en-US"/>
        </w:rPr>
        <w:t>2015;</w:t>
      </w:r>
      <w:r w:rsidR="00DE7BBA" w:rsidRPr="00DE7BBA">
        <w:rPr>
          <w:szCs w:val="24"/>
          <w:lang w:val="en-US"/>
        </w:rPr>
        <w:t xml:space="preserve"> </w:t>
      </w:r>
      <w:r w:rsidRPr="00F63A3F">
        <w:rPr>
          <w:szCs w:val="24"/>
          <w:lang w:val="en-US"/>
        </w:rPr>
        <w:t>47</w:t>
      </w:r>
      <w:r w:rsidR="00DE7BBA" w:rsidRPr="00DE7BBA">
        <w:rPr>
          <w:szCs w:val="24"/>
          <w:lang w:val="en-US"/>
        </w:rPr>
        <w:t xml:space="preserve"> </w:t>
      </w:r>
      <w:r w:rsidRPr="00F63A3F">
        <w:rPr>
          <w:szCs w:val="24"/>
          <w:lang w:val="en-US"/>
        </w:rPr>
        <w:t>(12):</w:t>
      </w:r>
      <w:r w:rsidR="00DE7BBA" w:rsidRPr="00DE7BBA">
        <w:rPr>
          <w:szCs w:val="24"/>
          <w:lang w:val="en-US"/>
        </w:rPr>
        <w:t xml:space="preserve"> </w:t>
      </w:r>
      <w:r w:rsidRPr="00F63A3F">
        <w:rPr>
          <w:szCs w:val="24"/>
          <w:lang w:val="en-US"/>
        </w:rPr>
        <w:t>1426</w:t>
      </w:r>
      <w:r w:rsidRPr="00F63A3F">
        <w:rPr>
          <w:rFonts w:eastAsia="Times New Roman"/>
          <w:szCs w:val="24"/>
          <w:lang w:val="en-US"/>
        </w:rPr>
        <w:t>–</w:t>
      </w:r>
      <w:r w:rsidRPr="00F63A3F">
        <w:rPr>
          <w:szCs w:val="24"/>
          <w:lang w:val="en-US"/>
        </w:rPr>
        <w:t>1434.</w:t>
      </w:r>
    </w:p>
    <w:p w:rsidR="003F054F" w:rsidRPr="00516E6B" w:rsidRDefault="003F054F" w:rsidP="003F054F">
      <w:pPr>
        <w:pStyle w:val="afd"/>
        <w:numPr>
          <w:ilvl w:val="0"/>
          <w:numId w:val="28"/>
        </w:numPr>
        <w:ind w:hanging="720"/>
        <w:rPr>
          <w:szCs w:val="24"/>
          <w:lang w:val="en-US"/>
        </w:rPr>
      </w:pPr>
      <w:r w:rsidRPr="00F63A3F">
        <w:rPr>
          <w:szCs w:val="24"/>
          <w:lang w:val="en-US"/>
        </w:rPr>
        <w:t xml:space="preserve">Ungewickell A., Bhaduri A., Rios E. et al. Genomic analysis of mycosis fungoides and Sezary syndrome identifies recurrent alterations in TNFR2. </w:t>
      </w:r>
      <w:r w:rsidRPr="00F63A3F">
        <w:rPr>
          <w:iCs/>
          <w:szCs w:val="24"/>
          <w:lang w:val="en-US"/>
        </w:rPr>
        <w:t>Nat Genet</w:t>
      </w:r>
      <w:r w:rsidRPr="00F63A3F">
        <w:rPr>
          <w:szCs w:val="24"/>
          <w:lang w:val="en-US"/>
        </w:rPr>
        <w:t>. 2015;</w:t>
      </w:r>
      <w:r w:rsidR="00DE7BBA" w:rsidRPr="00DE7BBA">
        <w:rPr>
          <w:szCs w:val="24"/>
          <w:lang w:val="en-US"/>
        </w:rPr>
        <w:t xml:space="preserve"> </w:t>
      </w:r>
      <w:r w:rsidRPr="00F63A3F">
        <w:rPr>
          <w:szCs w:val="24"/>
          <w:lang w:val="en-US"/>
        </w:rPr>
        <w:t>47</w:t>
      </w:r>
      <w:r w:rsidR="00DE7BBA" w:rsidRPr="00DE7BBA">
        <w:rPr>
          <w:szCs w:val="24"/>
          <w:lang w:val="en-US"/>
        </w:rPr>
        <w:t xml:space="preserve"> </w:t>
      </w:r>
      <w:r w:rsidRPr="00F63A3F">
        <w:rPr>
          <w:szCs w:val="24"/>
          <w:lang w:val="en-US"/>
        </w:rPr>
        <w:t>(9):</w:t>
      </w:r>
      <w:r w:rsidR="00DE7BBA" w:rsidRPr="00DE7BBA">
        <w:rPr>
          <w:szCs w:val="24"/>
          <w:lang w:val="en-US"/>
        </w:rPr>
        <w:t xml:space="preserve"> </w:t>
      </w:r>
      <w:r w:rsidRPr="00F63A3F">
        <w:rPr>
          <w:szCs w:val="24"/>
          <w:lang w:val="en-US"/>
        </w:rPr>
        <w:t>1056</w:t>
      </w:r>
      <w:r w:rsidRPr="00F63A3F">
        <w:rPr>
          <w:rFonts w:eastAsia="Times New Roman"/>
          <w:szCs w:val="24"/>
          <w:lang w:val="en-US"/>
        </w:rPr>
        <w:t>–</w:t>
      </w:r>
      <w:r w:rsidRPr="00F63A3F">
        <w:rPr>
          <w:szCs w:val="24"/>
          <w:lang w:val="en-US"/>
        </w:rPr>
        <w:t>1060.</w:t>
      </w:r>
    </w:p>
    <w:p w:rsidR="003F054F" w:rsidRPr="00F63A3F" w:rsidRDefault="003F054F" w:rsidP="003F054F">
      <w:pPr>
        <w:pStyle w:val="afd"/>
        <w:numPr>
          <w:ilvl w:val="0"/>
          <w:numId w:val="28"/>
        </w:numPr>
        <w:ind w:hanging="720"/>
        <w:rPr>
          <w:szCs w:val="24"/>
          <w:lang w:val="en-US"/>
        </w:rPr>
      </w:pPr>
      <w:r w:rsidRPr="00F63A3F">
        <w:rPr>
          <w:szCs w:val="24"/>
          <w:lang w:val="en-US"/>
        </w:rPr>
        <w:t xml:space="preserve">Berger C.L., Tigelaar R., Cohen J. et al. Cutaneous T-cell lymphoma: malignant proliferation of T-regulatory cells. </w:t>
      </w:r>
      <w:r w:rsidRPr="00F63A3F">
        <w:rPr>
          <w:iCs/>
          <w:szCs w:val="24"/>
          <w:lang w:val="en-US"/>
        </w:rPr>
        <w:t>Blood</w:t>
      </w:r>
      <w:r w:rsidRPr="00F63A3F">
        <w:rPr>
          <w:szCs w:val="24"/>
          <w:lang w:val="en-US"/>
        </w:rPr>
        <w:t>. 2005; 105 (4): 1640</w:t>
      </w:r>
      <w:r w:rsidRPr="00F63A3F">
        <w:rPr>
          <w:rFonts w:eastAsia="Times New Roman"/>
          <w:szCs w:val="24"/>
          <w:lang w:val="en-US"/>
        </w:rPr>
        <w:t>–</w:t>
      </w:r>
      <w:r w:rsidRPr="00F63A3F">
        <w:rPr>
          <w:szCs w:val="24"/>
          <w:lang w:val="en-US"/>
        </w:rPr>
        <w:t>1647.</w:t>
      </w:r>
    </w:p>
    <w:p w:rsidR="003F054F" w:rsidRPr="00F63A3F" w:rsidRDefault="003F054F" w:rsidP="003F054F">
      <w:pPr>
        <w:pStyle w:val="afd"/>
        <w:numPr>
          <w:ilvl w:val="0"/>
          <w:numId w:val="28"/>
        </w:numPr>
        <w:ind w:hanging="720"/>
        <w:rPr>
          <w:szCs w:val="24"/>
          <w:lang w:val="en-US"/>
        </w:rPr>
      </w:pPr>
      <w:r w:rsidRPr="00F63A3F">
        <w:rPr>
          <w:szCs w:val="24"/>
          <w:lang w:val="en-US"/>
        </w:rPr>
        <w:t xml:space="preserve">Spicknall K.E. </w:t>
      </w:r>
      <w:r w:rsidRPr="00F63A3F">
        <w:rPr>
          <w:bCs/>
          <w:szCs w:val="24"/>
          <w:lang w:val="en-US"/>
        </w:rPr>
        <w:t>Sezary syndrome – clinical and histopathologic features, differential diagnosis, and treatment. Semin Cutan Med Surg 2018; 37: 18–23.</w:t>
      </w:r>
    </w:p>
    <w:p w:rsidR="003F054F" w:rsidRPr="00F63A3F" w:rsidRDefault="003F054F" w:rsidP="003F054F">
      <w:pPr>
        <w:pStyle w:val="afd"/>
        <w:numPr>
          <w:ilvl w:val="0"/>
          <w:numId w:val="28"/>
        </w:numPr>
        <w:ind w:hanging="720"/>
        <w:rPr>
          <w:szCs w:val="24"/>
          <w:lang w:val="en-US"/>
        </w:rPr>
      </w:pPr>
      <w:r w:rsidRPr="00F63A3F">
        <w:rPr>
          <w:szCs w:val="24"/>
          <w:lang w:val="en-US"/>
        </w:rPr>
        <w:t xml:space="preserve">Olsen E.A., Rook A.H., Zic J. et al. Sezary syndrome: immunopathogenesis, literature review of therapeutic options, and recommendations for therapy by the United States Cutaneous Lymphoma Consortium (USCLC). </w:t>
      </w:r>
      <w:r w:rsidRPr="00F63A3F">
        <w:rPr>
          <w:iCs/>
          <w:szCs w:val="24"/>
          <w:lang w:val="en-US"/>
        </w:rPr>
        <w:t>J Am Acad Dermatol.</w:t>
      </w:r>
      <w:r w:rsidR="00DE7BBA" w:rsidRPr="00DE7BBA">
        <w:rPr>
          <w:lang w:val="en-US"/>
        </w:rPr>
        <w:t xml:space="preserve"> </w:t>
      </w:r>
      <w:r w:rsidRPr="00F63A3F">
        <w:rPr>
          <w:szCs w:val="24"/>
          <w:lang w:val="en-US"/>
        </w:rPr>
        <w:t>2011; 64 (2): 352</w:t>
      </w:r>
      <w:r w:rsidRPr="00F63A3F">
        <w:rPr>
          <w:rFonts w:eastAsia="Times New Roman"/>
          <w:szCs w:val="24"/>
          <w:lang w:val="en-US"/>
        </w:rPr>
        <w:t>–</w:t>
      </w:r>
      <w:r w:rsidRPr="00F63A3F">
        <w:rPr>
          <w:szCs w:val="24"/>
          <w:lang w:val="en-US"/>
        </w:rPr>
        <w:t>404.</w:t>
      </w:r>
    </w:p>
    <w:p w:rsidR="003F054F" w:rsidRPr="00F63A3F" w:rsidRDefault="003F054F" w:rsidP="003F054F">
      <w:pPr>
        <w:pStyle w:val="afd"/>
        <w:numPr>
          <w:ilvl w:val="0"/>
          <w:numId w:val="28"/>
        </w:numPr>
        <w:ind w:hanging="720"/>
        <w:rPr>
          <w:szCs w:val="24"/>
          <w:lang w:val="en-US"/>
        </w:rPr>
      </w:pPr>
      <w:r w:rsidRPr="00F63A3F">
        <w:rPr>
          <w:rFonts w:eastAsia="TimesLTStd-Roman"/>
          <w:szCs w:val="24"/>
          <w:lang w:val="en-US"/>
        </w:rPr>
        <w:t xml:space="preserve">Willemze R., Jaffe E.S., Burg G. et al. WHO-EORTC classification for cutaneous lymphomas. </w:t>
      </w:r>
      <w:r w:rsidRPr="00F63A3F">
        <w:rPr>
          <w:rFonts w:eastAsia="TimesLTStd-Roman"/>
          <w:iCs/>
          <w:szCs w:val="24"/>
          <w:lang w:val="en-US"/>
        </w:rPr>
        <w:t>Blood.</w:t>
      </w:r>
      <w:r w:rsidR="00DE7BBA" w:rsidRPr="00DE7BBA">
        <w:rPr>
          <w:lang w:val="en-US"/>
        </w:rPr>
        <w:t xml:space="preserve"> </w:t>
      </w:r>
      <w:r w:rsidRPr="00F63A3F">
        <w:rPr>
          <w:rFonts w:eastAsia="TimesLTStd-Roman"/>
          <w:szCs w:val="24"/>
          <w:lang w:val="en-US"/>
        </w:rPr>
        <w:t>2005; 105 (10): 3768</w:t>
      </w:r>
      <w:r w:rsidRPr="00F63A3F">
        <w:rPr>
          <w:rFonts w:eastAsia="Times New Roman"/>
          <w:szCs w:val="24"/>
          <w:lang w:val="en-US"/>
        </w:rPr>
        <w:t>–</w:t>
      </w:r>
      <w:r w:rsidRPr="00F63A3F">
        <w:rPr>
          <w:rFonts w:eastAsia="TimesLTStd-Roman"/>
          <w:szCs w:val="24"/>
          <w:lang w:val="en-US"/>
        </w:rPr>
        <w:t>3785.</w:t>
      </w:r>
    </w:p>
    <w:p w:rsidR="003F054F" w:rsidRPr="00F63A3F" w:rsidRDefault="003F054F" w:rsidP="003F054F">
      <w:pPr>
        <w:pStyle w:val="afd"/>
        <w:numPr>
          <w:ilvl w:val="0"/>
          <w:numId w:val="28"/>
        </w:numPr>
        <w:ind w:hanging="720"/>
        <w:rPr>
          <w:szCs w:val="24"/>
          <w:lang w:val="en-US"/>
        </w:rPr>
      </w:pPr>
      <w:r w:rsidRPr="00F63A3F">
        <w:rPr>
          <w:szCs w:val="24"/>
          <w:lang w:val="en-US"/>
        </w:rPr>
        <w:t xml:space="preserve">Kubica A.W., Davis M.D., Weaver A.L. et al. Sezary syndrome: a study of 176 patients at Mayo Clinic. </w:t>
      </w:r>
      <w:r w:rsidRPr="00F63A3F">
        <w:rPr>
          <w:iCs/>
          <w:szCs w:val="24"/>
          <w:lang w:val="en-US"/>
        </w:rPr>
        <w:t>J Am Acad Dermatol</w:t>
      </w:r>
      <w:r w:rsidRPr="00F63A3F">
        <w:rPr>
          <w:szCs w:val="24"/>
          <w:lang w:val="en-US"/>
        </w:rPr>
        <w:t>. 2012; 67 (6): 1189</w:t>
      </w:r>
      <w:r w:rsidRPr="00F63A3F">
        <w:rPr>
          <w:rFonts w:eastAsia="Times New Roman"/>
          <w:szCs w:val="24"/>
          <w:lang w:val="en-US"/>
        </w:rPr>
        <w:t>–</w:t>
      </w:r>
      <w:r w:rsidRPr="00F63A3F">
        <w:rPr>
          <w:szCs w:val="24"/>
          <w:lang w:val="en-US"/>
        </w:rPr>
        <w:t>1199.</w:t>
      </w:r>
    </w:p>
    <w:p w:rsidR="003F054F" w:rsidRPr="0049420E" w:rsidRDefault="003F054F" w:rsidP="003F054F">
      <w:pPr>
        <w:pStyle w:val="afd"/>
        <w:numPr>
          <w:ilvl w:val="0"/>
          <w:numId w:val="28"/>
        </w:numPr>
        <w:ind w:hanging="720"/>
        <w:rPr>
          <w:szCs w:val="24"/>
          <w:lang w:val="en-US"/>
        </w:rPr>
      </w:pPr>
      <w:r w:rsidRPr="00E8689F">
        <w:rPr>
          <w:szCs w:val="24"/>
          <w:lang w:val="en-US"/>
        </w:rPr>
        <w:t>Hristov A</w:t>
      </w:r>
      <w:r>
        <w:rPr>
          <w:szCs w:val="24"/>
          <w:lang w:val="en-US"/>
        </w:rPr>
        <w:t>.</w:t>
      </w:r>
      <w:r w:rsidRPr="00E8689F">
        <w:rPr>
          <w:szCs w:val="24"/>
          <w:lang w:val="en-US"/>
        </w:rPr>
        <w:t>C.</w:t>
      </w:r>
      <w:r>
        <w:rPr>
          <w:szCs w:val="24"/>
          <w:lang w:val="en-US"/>
        </w:rPr>
        <w:t xml:space="preserve">, </w:t>
      </w:r>
      <w:r w:rsidRPr="00E8689F">
        <w:rPr>
          <w:szCs w:val="24"/>
          <w:lang w:val="en-US"/>
        </w:rPr>
        <w:t>Tejasvi</w:t>
      </w:r>
      <w:r>
        <w:rPr>
          <w:szCs w:val="24"/>
          <w:lang w:val="en-US"/>
        </w:rPr>
        <w:t xml:space="preserve"> </w:t>
      </w:r>
      <w:r w:rsidRPr="00E8689F">
        <w:rPr>
          <w:szCs w:val="24"/>
          <w:lang w:val="en-US"/>
        </w:rPr>
        <w:t>T</w:t>
      </w:r>
      <w:r>
        <w:rPr>
          <w:szCs w:val="24"/>
          <w:lang w:val="en-US"/>
        </w:rPr>
        <w:t xml:space="preserve">., </w:t>
      </w:r>
      <w:r w:rsidRPr="00E8689F">
        <w:rPr>
          <w:szCs w:val="24"/>
          <w:lang w:val="en-US"/>
        </w:rPr>
        <w:t>Wilcox</w:t>
      </w:r>
      <w:r>
        <w:rPr>
          <w:szCs w:val="24"/>
          <w:lang w:val="en-US"/>
        </w:rPr>
        <w:t xml:space="preserve"> </w:t>
      </w:r>
      <w:r w:rsidRPr="00E8689F">
        <w:rPr>
          <w:szCs w:val="24"/>
          <w:lang w:val="en-US"/>
        </w:rPr>
        <w:t>R</w:t>
      </w:r>
      <w:r>
        <w:rPr>
          <w:szCs w:val="24"/>
          <w:lang w:val="en-US"/>
        </w:rPr>
        <w:t>.</w:t>
      </w:r>
      <w:r w:rsidRPr="00E8689F">
        <w:rPr>
          <w:szCs w:val="24"/>
          <w:lang w:val="en-US"/>
        </w:rPr>
        <w:t>A. Mycosis fungoides and Sézary syndrome</w:t>
      </w:r>
      <w:r>
        <w:rPr>
          <w:szCs w:val="24"/>
          <w:lang w:val="en-US"/>
        </w:rPr>
        <w:t xml:space="preserve">: </w:t>
      </w:r>
      <w:r w:rsidRPr="00E8689F">
        <w:rPr>
          <w:szCs w:val="24"/>
          <w:lang w:val="en-US"/>
        </w:rPr>
        <w:t>2019 update on diagnosis, risk-stratification, and management</w:t>
      </w:r>
      <w:r>
        <w:rPr>
          <w:szCs w:val="24"/>
          <w:lang w:val="en-US"/>
        </w:rPr>
        <w:t xml:space="preserve">. </w:t>
      </w:r>
      <w:r w:rsidRPr="0002628A">
        <w:rPr>
          <w:szCs w:val="24"/>
          <w:lang w:val="en-US"/>
        </w:rPr>
        <w:t>Am J Hematol. 2019;</w:t>
      </w:r>
      <w:r>
        <w:rPr>
          <w:szCs w:val="24"/>
          <w:lang w:val="en-US"/>
        </w:rPr>
        <w:t xml:space="preserve"> </w:t>
      </w:r>
      <w:r w:rsidRPr="0002628A">
        <w:rPr>
          <w:szCs w:val="24"/>
          <w:lang w:val="en-US"/>
        </w:rPr>
        <w:t>94:</w:t>
      </w:r>
      <w:r>
        <w:rPr>
          <w:szCs w:val="24"/>
          <w:lang w:val="en-US"/>
        </w:rPr>
        <w:t xml:space="preserve"> </w:t>
      </w:r>
      <w:r w:rsidRPr="0002628A">
        <w:rPr>
          <w:szCs w:val="24"/>
          <w:lang w:val="en-US"/>
        </w:rPr>
        <w:t>1027–1041.</w:t>
      </w:r>
    </w:p>
    <w:p w:rsidR="003F054F" w:rsidRPr="00F63A3F" w:rsidRDefault="003F054F" w:rsidP="003F054F">
      <w:pPr>
        <w:pStyle w:val="afd"/>
        <w:numPr>
          <w:ilvl w:val="0"/>
          <w:numId w:val="28"/>
        </w:numPr>
        <w:ind w:hanging="720"/>
        <w:rPr>
          <w:szCs w:val="24"/>
          <w:lang w:val="en-US"/>
        </w:rPr>
      </w:pPr>
      <w:r w:rsidRPr="00F63A3F">
        <w:rPr>
          <w:szCs w:val="24"/>
          <w:lang w:val="en-US"/>
        </w:rPr>
        <w:t xml:space="preserve">Sentis H.J., Willemze R., Scheffer E. Histopathologic studies in Sezary syndrome and erythrodermic mycosis fungoides: a comparison with benign forms of erythroderma. </w:t>
      </w:r>
      <w:r w:rsidRPr="00F63A3F">
        <w:rPr>
          <w:iCs/>
          <w:szCs w:val="24"/>
          <w:lang w:val="en-US"/>
        </w:rPr>
        <w:t>J Am Acad Dermatol</w:t>
      </w:r>
      <w:r w:rsidRPr="00F63A3F">
        <w:rPr>
          <w:szCs w:val="24"/>
          <w:lang w:val="en-US"/>
        </w:rPr>
        <w:t>. 1986; 15 (6): 1217</w:t>
      </w:r>
      <w:r w:rsidRPr="00F63A3F">
        <w:rPr>
          <w:rFonts w:eastAsia="Times New Roman"/>
          <w:szCs w:val="24"/>
          <w:lang w:val="en-US"/>
        </w:rPr>
        <w:t>–</w:t>
      </w:r>
      <w:r w:rsidRPr="00F63A3F">
        <w:rPr>
          <w:szCs w:val="24"/>
          <w:lang w:val="en-US"/>
        </w:rPr>
        <w:t>1226.</w:t>
      </w:r>
    </w:p>
    <w:p w:rsidR="003F054F" w:rsidRPr="00F63A3F" w:rsidRDefault="003F054F" w:rsidP="003F054F">
      <w:pPr>
        <w:pStyle w:val="afd"/>
        <w:numPr>
          <w:ilvl w:val="0"/>
          <w:numId w:val="28"/>
        </w:numPr>
        <w:ind w:hanging="720"/>
        <w:rPr>
          <w:szCs w:val="24"/>
          <w:lang w:val="en-US"/>
        </w:rPr>
      </w:pPr>
      <w:r w:rsidRPr="00F63A3F">
        <w:rPr>
          <w:szCs w:val="24"/>
          <w:lang w:val="en-US"/>
        </w:rPr>
        <w:lastRenderedPageBreak/>
        <w:t>Trotter M</w:t>
      </w:r>
      <w:r>
        <w:rPr>
          <w:szCs w:val="24"/>
          <w:lang w:val="en-US"/>
        </w:rPr>
        <w:t>.J., Whittaker S.J., Orchard G.</w:t>
      </w:r>
      <w:r w:rsidRPr="00F63A3F">
        <w:rPr>
          <w:szCs w:val="24"/>
          <w:lang w:val="en-US"/>
        </w:rPr>
        <w:t xml:space="preserve">E, Smith N.P. Cutaneous histopathology of Sezary syndrome: a study of 41 cases with a proven circulating T-cell clone. </w:t>
      </w:r>
      <w:r w:rsidRPr="00F63A3F">
        <w:rPr>
          <w:iCs/>
          <w:szCs w:val="24"/>
          <w:lang w:val="en-US"/>
        </w:rPr>
        <w:t>J Cutan Pathol</w:t>
      </w:r>
      <w:r w:rsidRPr="00F63A3F">
        <w:rPr>
          <w:i/>
          <w:iCs/>
          <w:szCs w:val="24"/>
          <w:lang w:val="en-US"/>
        </w:rPr>
        <w:t xml:space="preserve">. </w:t>
      </w:r>
      <w:r w:rsidRPr="00F63A3F">
        <w:rPr>
          <w:szCs w:val="24"/>
          <w:lang w:val="en-US"/>
        </w:rPr>
        <w:t>1997; 24 (5): 286</w:t>
      </w:r>
      <w:r w:rsidRPr="00F63A3F">
        <w:rPr>
          <w:rFonts w:eastAsia="Times New Roman"/>
          <w:szCs w:val="24"/>
          <w:lang w:val="en-US"/>
        </w:rPr>
        <w:t>–</w:t>
      </w:r>
      <w:r w:rsidRPr="00F63A3F">
        <w:rPr>
          <w:szCs w:val="24"/>
          <w:lang w:val="en-US"/>
        </w:rPr>
        <w:t>291.</w:t>
      </w:r>
    </w:p>
    <w:p w:rsidR="003F054F" w:rsidRPr="00F63A3F" w:rsidRDefault="003F054F" w:rsidP="003F054F">
      <w:pPr>
        <w:pStyle w:val="afd"/>
        <w:numPr>
          <w:ilvl w:val="0"/>
          <w:numId w:val="28"/>
        </w:numPr>
        <w:ind w:hanging="720"/>
        <w:rPr>
          <w:szCs w:val="24"/>
          <w:lang w:val="en-US"/>
        </w:rPr>
      </w:pPr>
      <w:r w:rsidRPr="00F63A3F">
        <w:rPr>
          <w:szCs w:val="24"/>
          <w:lang w:val="en-US"/>
        </w:rPr>
        <w:t xml:space="preserve">Klemke C.D., Booken N., Weiss C. et al. Histopathological and immunophenotypical criteria for the diagnosis of Sezary syndrome in differentiation from other erythrodermic skin diseases: a European Organisation for Research and Treatment of Cancer (EORTC) Cutaneous Lymphoma Task Force Study of 97 cases. </w:t>
      </w:r>
      <w:r w:rsidRPr="00F63A3F">
        <w:rPr>
          <w:iCs/>
          <w:szCs w:val="24"/>
          <w:lang w:val="en-US"/>
        </w:rPr>
        <w:t>Br J Dermatol</w:t>
      </w:r>
      <w:r w:rsidRPr="00F63A3F">
        <w:rPr>
          <w:szCs w:val="24"/>
          <w:lang w:val="en-US"/>
        </w:rPr>
        <w:t>. 2015; 173 (1): 93</w:t>
      </w:r>
      <w:r w:rsidRPr="00F63A3F">
        <w:rPr>
          <w:rFonts w:eastAsia="Times New Roman"/>
          <w:szCs w:val="24"/>
          <w:lang w:val="en-US"/>
        </w:rPr>
        <w:t>–</w:t>
      </w:r>
      <w:r w:rsidRPr="00F63A3F">
        <w:rPr>
          <w:szCs w:val="24"/>
          <w:lang w:val="en-US"/>
        </w:rPr>
        <w:t>105.</w:t>
      </w:r>
    </w:p>
    <w:p w:rsidR="003F054F" w:rsidRPr="0049420E" w:rsidRDefault="003F054F" w:rsidP="003F054F">
      <w:pPr>
        <w:pStyle w:val="afd"/>
        <w:numPr>
          <w:ilvl w:val="0"/>
          <w:numId w:val="28"/>
        </w:numPr>
        <w:ind w:hanging="720"/>
        <w:rPr>
          <w:szCs w:val="24"/>
          <w:lang w:val="en-US"/>
        </w:rPr>
      </w:pPr>
      <w:r w:rsidRPr="00F63A3F">
        <w:rPr>
          <w:szCs w:val="24"/>
          <w:lang w:val="en-US"/>
        </w:rPr>
        <w:t xml:space="preserve">Diwan A.H., Prieto V.G., Herling M. et al. Primary Sezary syndrome commonly shows low-grade cytologic atypia and an absence of epidermotropism. </w:t>
      </w:r>
      <w:r w:rsidRPr="00095341">
        <w:rPr>
          <w:lang w:val="en-US"/>
        </w:rPr>
        <w:t>Am J Clin Pathol.</w:t>
      </w:r>
      <w:r w:rsidRPr="00F63A3F">
        <w:rPr>
          <w:i/>
          <w:iCs/>
          <w:szCs w:val="24"/>
          <w:lang w:val="en-US"/>
        </w:rPr>
        <w:t xml:space="preserve"> </w:t>
      </w:r>
      <w:r w:rsidRPr="00F63A3F">
        <w:rPr>
          <w:szCs w:val="24"/>
          <w:lang w:val="en-US"/>
        </w:rPr>
        <w:t>2005; 123 (4): 510</w:t>
      </w:r>
      <w:r w:rsidRPr="00F63A3F">
        <w:rPr>
          <w:rFonts w:eastAsia="Times New Roman"/>
          <w:szCs w:val="24"/>
          <w:lang w:val="en-US"/>
        </w:rPr>
        <w:t>–</w:t>
      </w:r>
      <w:r w:rsidRPr="00F63A3F">
        <w:rPr>
          <w:szCs w:val="24"/>
          <w:lang w:val="en-US"/>
        </w:rPr>
        <w:t>515.</w:t>
      </w:r>
    </w:p>
    <w:p w:rsidR="003F054F" w:rsidRPr="0049420E" w:rsidRDefault="003F054F" w:rsidP="003F054F">
      <w:pPr>
        <w:pStyle w:val="afd"/>
        <w:numPr>
          <w:ilvl w:val="0"/>
          <w:numId w:val="28"/>
        </w:numPr>
        <w:ind w:hanging="720"/>
        <w:rPr>
          <w:szCs w:val="24"/>
          <w:lang w:val="en-US"/>
        </w:rPr>
      </w:pPr>
      <w:r w:rsidRPr="003A14CA">
        <w:rPr>
          <w:rFonts w:eastAsia="Times New Roman"/>
          <w:szCs w:val="24"/>
          <w:lang w:val="en-US" w:eastAsia="ru-RU"/>
        </w:rPr>
        <w:t>Morice W</w:t>
      </w:r>
      <w:r>
        <w:rPr>
          <w:rFonts w:eastAsia="Times New Roman"/>
          <w:szCs w:val="24"/>
          <w:lang w:val="en-US" w:eastAsia="ru-RU"/>
        </w:rPr>
        <w:t>.</w:t>
      </w:r>
      <w:r w:rsidRPr="003A14CA">
        <w:rPr>
          <w:rFonts w:eastAsia="Times New Roman"/>
          <w:szCs w:val="24"/>
          <w:lang w:val="en-US" w:eastAsia="ru-RU"/>
        </w:rPr>
        <w:t>G</w:t>
      </w:r>
      <w:r>
        <w:rPr>
          <w:rFonts w:eastAsia="Times New Roman"/>
          <w:szCs w:val="24"/>
          <w:lang w:val="en-US" w:eastAsia="ru-RU"/>
        </w:rPr>
        <w:t>.</w:t>
      </w:r>
      <w:r w:rsidRPr="003A14CA">
        <w:rPr>
          <w:rFonts w:eastAsia="Times New Roman"/>
          <w:szCs w:val="24"/>
          <w:lang w:val="en-US" w:eastAsia="ru-RU"/>
        </w:rPr>
        <w:t>, Katzmann J</w:t>
      </w:r>
      <w:r>
        <w:rPr>
          <w:rFonts w:eastAsia="Times New Roman"/>
          <w:szCs w:val="24"/>
          <w:lang w:val="en-US" w:eastAsia="ru-RU"/>
        </w:rPr>
        <w:t>.</w:t>
      </w:r>
      <w:r w:rsidRPr="003A14CA">
        <w:rPr>
          <w:rFonts w:eastAsia="Times New Roman"/>
          <w:szCs w:val="24"/>
          <w:lang w:val="en-US" w:eastAsia="ru-RU"/>
        </w:rPr>
        <w:t>A</w:t>
      </w:r>
      <w:r>
        <w:rPr>
          <w:rFonts w:eastAsia="Times New Roman"/>
          <w:szCs w:val="24"/>
          <w:lang w:val="en-US" w:eastAsia="ru-RU"/>
        </w:rPr>
        <w:t>.</w:t>
      </w:r>
      <w:r w:rsidRPr="003A14CA">
        <w:rPr>
          <w:rFonts w:eastAsia="Times New Roman"/>
          <w:szCs w:val="24"/>
          <w:lang w:val="en-US" w:eastAsia="ru-RU"/>
        </w:rPr>
        <w:t>, Pittelkow M</w:t>
      </w:r>
      <w:r>
        <w:rPr>
          <w:rFonts w:eastAsia="Times New Roman"/>
          <w:szCs w:val="24"/>
          <w:lang w:val="en-US" w:eastAsia="ru-RU"/>
        </w:rPr>
        <w:t>.</w:t>
      </w:r>
      <w:r w:rsidRPr="003A14CA">
        <w:rPr>
          <w:rFonts w:eastAsia="Times New Roman"/>
          <w:szCs w:val="24"/>
          <w:lang w:val="en-US" w:eastAsia="ru-RU"/>
        </w:rPr>
        <w:t>R</w:t>
      </w:r>
      <w:r>
        <w:rPr>
          <w:rFonts w:eastAsia="Times New Roman"/>
          <w:szCs w:val="24"/>
          <w:lang w:val="en-US" w:eastAsia="ru-RU"/>
        </w:rPr>
        <w:t>. et al.</w:t>
      </w:r>
      <w:r w:rsidRPr="003A14CA">
        <w:rPr>
          <w:rFonts w:eastAsia="Times New Roman"/>
          <w:szCs w:val="24"/>
          <w:lang w:val="en-US" w:eastAsia="ru-RU"/>
        </w:rPr>
        <w:t xml:space="preserve"> A comparison of morphologic features, flow cytometry, TCR-Vbeta analysis, and</w:t>
      </w:r>
      <w:r w:rsidRPr="00516E6B">
        <w:rPr>
          <w:rFonts w:eastAsia="Times New Roman"/>
          <w:szCs w:val="24"/>
          <w:lang w:val="en-US" w:eastAsia="ru-RU"/>
        </w:rPr>
        <w:t xml:space="preserve"> </w:t>
      </w:r>
      <w:r w:rsidRPr="003A14CA">
        <w:rPr>
          <w:rFonts w:eastAsia="Times New Roman"/>
          <w:szCs w:val="24"/>
          <w:lang w:val="en-US" w:eastAsia="ru-RU"/>
        </w:rPr>
        <w:t xml:space="preserve">TCR-PCR in qualitative and quantitative assessment of peripheral blood involvement by Sezary syndrome. </w:t>
      </w:r>
      <w:r w:rsidRPr="003A14CA">
        <w:rPr>
          <w:rFonts w:eastAsia="Times New Roman"/>
          <w:iCs/>
          <w:szCs w:val="24"/>
          <w:lang w:val="en-US" w:eastAsia="ru-RU"/>
        </w:rPr>
        <w:t>Am J Clin Pathol</w:t>
      </w:r>
      <w:r w:rsidRPr="003A14CA">
        <w:rPr>
          <w:rFonts w:eastAsia="Times New Roman"/>
          <w:szCs w:val="24"/>
          <w:lang w:val="en-US" w:eastAsia="ru-RU"/>
        </w:rPr>
        <w:t>. 2006;</w:t>
      </w:r>
      <w:r w:rsidRPr="00095341">
        <w:t xml:space="preserve"> </w:t>
      </w:r>
      <w:r w:rsidRPr="003A14CA">
        <w:rPr>
          <w:rFonts w:eastAsia="Times New Roman"/>
          <w:szCs w:val="24"/>
          <w:lang w:val="en-US" w:eastAsia="ru-RU"/>
        </w:rPr>
        <w:t>125</w:t>
      </w:r>
      <w:r w:rsidRPr="00095341">
        <w:t xml:space="preserve"> </w:t>
      </w:r>
      <w:r w:rsidRPr="003A14CA">
        <w:rPr>
          <w:rFonts w:eastAsia="Times New Roman"/>
          <w:szCs w:val="24"/>
          <w:lang w:val="en-US" w:eastAsia="ru-RU"/>
        </w:rPr>
        <w:t>(3):</w:t>
      </w:r>
      <w:r w:rsidRPr="00095341">
        <w:t xml:space="preserve"> </w:t>
      </w:r>
      <w:r w:rsidRPr="003A14CA">
        <w:rPr>
          <w:rFonts w:eastAsia="Times New Roman"/>
          <w:szCs w:val="24"/>
          <w:lang w:val="en-US" w:eastAsia="ru-RU"/>
        </w:rPr>
        <w:t>364</w:t>
      </w:r>
      <w:r w:rsidRPr="00F63A3F">
        <w:rPr>
          <w:rFonts w:eastAsia="Times New Roman"/>
          <w:szCs w:val="24"/>
          <w:lang w:val="en-US"/>
        </w:rPr>
        <w:t>–</w:t>
      </w:r>
      <w:r w:rsidRPr="003A14CA">
        <w:rPr>
          <w:rFonts w:eastAsia="Times New Roman"/>
          <w:szCs w:val="24"/>
          <w:lang w:val="en-US" w:eastAsia="ru-RU"/>
        </w:rPr>
        <w:t>374.</w:t>
      </w:r>
    </w:p>
    <w:p w:rsidR="003F054F" w:rsidRPr="00B21A9D" w:rsidRDefault="003F054F" w:rsidP="003F054F">
      <w:pPr>
        <w:pStyle w:val="afd"/>
        <w:numPr>
          <w:ilvl w:val="0"/>
          <w:numId w:val="28"/>
        </w:numPr>
        <w:ind w:hanging="720"/>
        <w:rPr>
          <w:szCs w:val="24"/>
          <w:lang w:val="en-US"/>
        </w:rPr>
      </w:pPr>
      <w:r w:rsidRPr="003A14CA">
        <w:rPr>
          <w:rFonts w:eastAsia="Times New Roman"/>
          <w:szCs w:val="24"/>
          <w:lang w:val="en-US" w:eastAsia="ru-RU"/>
        </w:rPr>
        <w:t>Feng B</w:t>
      </w:r>
      <w:r>
        <w:rPr>
          <w:rFonts w:eastAsia="Times New Roman"/>
          <w:szCs w:val="24"/>
          <w:lang w:val="en-US" w:eastAsia="ru-RU"/>
        </w:rPr>
        <w:t>.</w:t>
      </w:r>
      <w:r w:rsidRPr="003A14CA">
        <w:rPr>
          <w:rFonts w:eastAsia="Times New Roman"/>
          <w:szCs w:val="24"/>
          <w:lang w:val="en-US" w:eastAsia="ru-RU"/>
        </w:rPr>
        <w:t>, Jorgensen J</w:t>
      </w:r>
      <w:r>
        <w:rPr>
          <w:rFonts w:eastAsia="Times New Roman"/>
          <w:szCs w:val="24"/>
          <w:lang w:val="en-US" w:eastAsia="ru-RU"/>
        </w:rPr>
        <w:t>.</w:t>
      </w:r>
      <w:r w:rsidRPr="003A14CA">
        <w:rPr>
          <w:rFonts w:eastAsia="Times New Roman"/>
          <w:szCs w:val="24"/>
          <w:lang w:val="en-US" w:eastAsia="ru-RU"/>
        </w:rPr>
        <w:t>L</w:t>
      </w:r>
      <w:r>
        <w:rPr>
          <w:rFonts w:eastAsia="Times New Roman"/>
          <w:szCs w:val="24"/>
          <w:lang w:val="en-US" w:eastAsia="ru-RU"/>
        </w:rPr>
        <w:t>.</w:t>
      </w:r>
      <w:r w:rsidRPr="003A14CA">
        <w:rPr>
          <w:rFonts w:eastAsia="Times New Roman"/>
          <w:szCs w:val="24"/>
          <w:lang w:val="en-US" w:eastAsia="ru-RU"/>
        </w:rPr>
        <w:t>, Jones D</w:t>
      </w:r>
      <w:r>
        <w:rPr>
          <w:rFonts w:eastAsia="Times New Roman"/>
          <w:szCs w:val="24"/>
          <w:lang w:val="en-US" w:eastAsia="ru-RU"/>
        </w:rPr>
        <w:t>.</w:t>
      </w:r>
      <w:r w:rsidRPr="003A14CA">
        <w:rPr>
          <w:rFonts w:eastAsia="Times New Roman"/>
          <w:szCs w:val="24"/>
          <w:lang w:val="en-US" w:eastAsia="ru-RU"/>
        </w:rPr>
        <w:t xml:space="preserve"> et al. Flow cytometric detection of peripheral blood involvement by mycosis fungoides and Sezary syndrome using T-cell receptor Vbeta chain antibodies and its application in blood staging. </w:t>
      </w:r>
      <w:r w:rsidRPr="003A14CA">
        <w:rPr>
          <w:rFonts w:eastAsia="Times New Roman"/>
          <w:iCs/>
          <w:szCs w:val="24"/>
          <w:lang w:val="en-US" w:eastAsia="ru-RU"/>
        </w:rPr>
        <w:t>Mod Pathol</w:t>
      </w:r>
      <w:r w:rsidRPr="003A14CA">
        <w:rPr>
          <w:rFonts w:eastAsia="Times New Roman"/>
          <w:i/>
          <w:iCs/>
          <w:szCs w:val="24"/>
          <w:lang w:val="en-US" w:eastAsia="ru-RU"/>
        </w:rPr>
        <w:t xml:space="preserve">. </w:t>
      </w:r>
      <w:r w:rsidRPr="003A14CA">
        <w:rPr>
          <w:rFonts w:eastAsia="Times New Roman"/>
          <w:szCs w:val="24"/>
          <w:lang w:val="en-US" w:eastAsia="ru-RU"/>
        </w:rPr>
        <w:t>2010;</w:t>
      </w:r>
      <w:r>
        <w:rPr>
          <w:rFonts w:eastAsia="Times New Roman"/>
          <w:szCs w:val="24"/>
          <w:lang w:val="en-US" w:eastAsia="ru-RU"/>
        </w:rPr>
        <w:t xml:space="preserve"> </w:t>
      </w:r>
      <w:r w:rsidRPr="003A14CA">
        <w:rPr>
          <w:rFonts w:eastAsia="Times New Roman"/>
          <w:szCs w:val="24"/>
          <w:lang w:val="en-US" w:eastAsia="ru-RU"/>
        </w:rPr>
        <w:t>23</w:t>
      </w:r>
      <w:r>
        <w:rPr>
          <w:rFonts w:eastAsia="Times New Roman"/>
          <w:szCs w:val="24"/>
          <w:lang w:val="en-US" w:eastAsia="ru-RU"/>
        </w:rPr>
        <w:t xml:space="preserve"> </w:t>
      </w:r>
      <w:r w:rsidRPr="003A14CA">
        <w:rPr>
          <w:rFonts w:eastAsia="Times New Roman"/>
          <w:szCs w:val="24"/>
          <w:lang w:val="en-US" w:eastAsia="ru-RU"/>
        </w:rPr>
        <w:t>(2):</w:t>
      </w:r>
      <w:r>
        <w:rPr>
          <w:rFonts w:eastAsia="Times New Roman"/>
          <w:szCs w:val="24"/>
          <w:lang w:val="en-US" w:eastAsia="ru-RU"/>
        </w:rPr>
        <w:t xml:space="preserve"> </w:t>
      </w:r>
      <w:r w:rsidRPr="003A14CA">
        <w:rPr>
          <w:rFonts w:eastAsia="Times New Roman"/>
          <w:szCs w:val="24"/>
          <w:lang w:val="en-US" w:eastAsia="ru-RU"/>
        </w:rPr>
        <w:t>284</w:t>
      </w:r>
      <w:r w:rsidRPr="00F63A3F">
        <w:rPr>
          <w:rFonts w:eastAsia="Times New Roman"/>
          <w:szCs w:val="24"/>
          <w:lang w:val="en-US"/>
        </w:rPr>
        <w:t>–</w:t>
      </w:r>
      <w:r w:rsidRPr="003A14CA">
        <w:rPr>
          <w:rFonts w:eastAsia="Times New Roman"/>
          <w:szCs w:val="24"/>
          <w:lang w:val="en-US" w:eastAsia="ru-RU"/>
        </w:rPr>
        <w:t>295.</w:t>
      </w:r>
    </w:p>
    <w:p w:rsidR="003F054F" w:rsidRPr="0049420E" w:rsidRDefault="003F054F" w:rsidP="003F054F">
      <w:pPr>
        <w:pStyle w:val="afd"/>
        <w:numPr>
          <w:ilvl w:val="0"/>
          <w:numId w:val="28"/>
        </w:numPr>
        <w:ind w:hanging="720"/>
        <w:rPr>
          <w:szCs w:val="24"/>
          <w:lang w:val="en-US"/>
        </w:rPr>
      </w:pPr>
      <w:r w:rsidRPr="00B1570A">
        <w:rPr>
          <w:bCs/>
          <w:lang w:val="en-US"/>
        </w:rPr>
        <w:t xml:space="preserve">Olsen E., Vonderheid E., Pimpinelli N. et al. </w:t>
      </w:r>
      <w:r w:rsidRPr="00B1570A">
        <w:rPr>
          <w:bCs/>
          <w:color w:val="000000"/>
          <w:szCs w:val="24"/>
          <w:lang w:val="en-US"/>
        </w:rPr>
        <w:t xml:space="preserve">Revisions to the </w:t>
      </w:r>
      <w:r>
        <w:rPr>
          <w:bCs/>
          <w:color w:val="000000"/>
          <w:szCs w:val="24"/>
          <w:lang w:val="en-US"/>
        </w:rPr>
        <w:t>s</w:t>
      </w:r>
      <w:r w:rsidRPr="00B1570A">
        <w:rPr>
          <w:bCs/>
          <w:color w:val="000000"/>
          <w:szCs w:val="24"/>
          <w:lang w:val="en-US"/>
        </w:rPr>
        <w:t xml:space="preserve">taging and </w:t>
      </w:r>
      <w:r>
        <w:rPr>
          <w:bCs/>
          <w:color w:val="000000"/>
          <w:szCs w:val="24"/>
          <w:lang w:val="en-US"/>
        </w:rPr>
        <w:t>c</w:t>
      </w:r>
      <w:r w:rsidRPr="00B1570A">
        <w:rPr>
          <w:bCs/>
          <w:color w:val="000000"/>
          <w:szCs w:val="24"/>
          <w:lang w:val="en-US"/>
        </w:rPr>
        <w:t xml:space="preserve">lassification of </w:t>
      </w:r>
      <w:r>
        <w:rPr>
          <w:bCs/>
          <w:color w:val="000000"/>
          <w:szCs w:val="24"/>
          <w:lang w:val="en-US"/>
        </w:rPr>
        <w:t>m</w:t>
      </w:r>
      <w:r w:rsidRPr="00B1570A">
        <w:rPr>
          <w:bCs/>
          <w:color w:val="000000"/>
          <w:szCs w:val="24"/>
          <w:lang w:val="en-US"/>
        </w:rPr>
        <w:t xml:space="preserve">ycosis </w:t>
      </w:r>
      <w:r>
        <w:rPr>
          <w:bCs/>
          <w:color w:val="000000"/>
          <w:szCs w:val="24"/>
          <w:lang w:val="en-US"/>
        </w:rPr>
        <w:t>f</w:t>
      </w:r>
      <w:r w:rsidRPr="00B1570A">
        <w:rPr>
          <w:bCs/>
          <w:color w:val="000000"/>
          <w:szCs w:val="24"/>
          <w:lang w:val="en-US"/>
        </w:rPr>
        <w:t xml:space="preserve">ungoides and Sezary </w:t>
      </w:r>
      <w:r>
        <w:rPr>
          <w:bCs/>
          <w:color w:val="000000"/>
          <w:szCs w:val="24"/>
          <w:lang w:val="en-US"/>
        </w:rPr>
        <w:t>s</w:t>
      </w:r>
      <w:r w:rsidRPr="00B1570A">
        <w:rPr>
          <w:bCs/>
          <w:color w:val="000000"/>
          <w:szCs w:val="24"/>
          <w:lang w:val="en-US"/>
        </w:rPr>
        <w:t xml:space="preserve">yndrome: </w:t>
      </w:r>
      <w:r>
        <w:rPr>
          <w:bCs/>
          <w:color w:val="000000"/>
          <w:szCs w:val="24"/>
          <w:lang w:val="en-US"/>
        </w:rPr>
        <w:t>a</w:t>
      </w:r>
      <w:r w:rsidRPr="00B1570A">
        <w:rPr>
          <w:bCs/>
          <w:color w:val="000000"/>
          <w:szCs w:val="24"/>
          <w:lang w:val="en-US"/>
        </w:rPr>
        <w:t xml:space="preserve"> </w:t>
      </w:r>
      <w:r>
        <w:rPr>
          <w:bCs/>
          <w:color w:val="000000"/>
          <w:szCs w:val="24"/>
          <w:lang w:val="en-US"/>
        </w:rPr>
        <w:t>p</w:t>
      </w:r>
      <w:r w:rsidRPr="00B1570A">
        <w:rPr>
          <w:bCs/>
          <w:color w:val="000000"/>
          <w:szCs w:val="24"/>
          <w:lang w:val="en-US"/>
        </w:rPr>
        <w:t>roposal of the International Society for Cutaneous Lymphomas (ISCL) and the Cutaneous Lymphoma Task Force of the European Organization of Research and Treatment of Cancer (EORTC)</w:t>
      </w:r>
      <w:r w:rsidRPr="00B1570A">
        <w:rPr>
          <w:bCs/>
          <w:lang w:val="en-US"/>
        </w:rPr>
        <w:t xml:space="preserve">. </w:t>
      </w:r>
      <w:r>
        <w:rPr>
          <w:bCs/>
          <w:lang w:val="en-US"/>
        </w:rPr>
        <w:t xml:space="preserve">Blood. </w:t>
      </w:r>
      <w:r w:rsidRPr="00B21A9D">
        <w:rPr>
          <w:bCs/>
          <w:lang w:val="en-US"/>
        </w:rPr>
        <w:t>2007;</w:t>
      </w:r>
      <w:r>
        <w:rPr>
          <w:bCs/>
          <w:lang w:val="en-US"/>
        </w:rPr>
        <w:t xml:space="preserve"> </w:t>
      </w:r>
      <w:r w:rsidRPr="00B21A9D">
        <w:rPr>
          <w:bCs/>
          <w:lang w:val="en-US"/>
        </w:rPr>
        <w:t>110</w:t>
      </w:r>
      <w:r>
        <w:rPr>
          <w:bCs/>
          <w:lang w:val="en-US"/>
        </w:rPr>
        <w:t xml:space="preserve"> </w:t>
      </w:r>
      <w:r w:rsidRPr="00B21A9D">
        <w:rPr>
          <w:bCs/>
          <w:lang w:val="en-US"/>
        </w:rPr>
        <w:t>(6):</w:t>
      </w:r>
      <w:r>
        <w:rPr>
          <w:bCs/>
          <w:lang w:val="en-US"/>
        </w:rPr>
        <w:t xml:space="preserve"> </w:t>
      </w:r>
      <w:r w:rsidRPr="00B21A9D">
        <w:rPr>
          <w:bCs/>
          <w:lang w:val="en-US"/>
        </w:rPr>
        <w:t>1713</w:t>
      </w:r>
      <w:r w:rsidRPr="001651D4">
        <w:rPr>
          <w:b/>
          <w:szCs w:val="24"/>
          <w:lang w:val="en-US"/>
        </w:rPr>
        <w:t>–</w:t>
      </w:r>
      <w:r>
        <w:rPr>
          <w:bCs/>
          <w:lang w:val="en-US"/>
        </w:rPr>
        <w:t>17</w:t>
      </w:r>
      <w:r w:rsidRPr="00B21A9D">
        <w:rPr>
          <w:bCs/>
          <w:lang w:val="en-US"/>
        </w:rPr>
        <w:t>22</w:t>
      </w:r>
      <w:r>
        <w:rPr>
          <w:bCs/>
          <w:lang w:val="en-US"/>
        </w:rPr>
        <w:t>.</w:t>
      </w:r>
    </w:p>
    <w:p w:rsidR="003F054F" w:rsidRPr="00EB2963" w:rsidRDefault="003F054F" w:rsidP="003F054F">
      <w:pPr>
        <w:pStyle w:val="afd"/>
        <w:numPr>
          <w:ilvl w:val="0"/>
          <w:numId w:val="28"/>
        </w:numPr>
        <w:ind w:hanging="720"/>
        <w:rPr>
          <w:szCs w:val="24"/>
        </w:rPr>
      </w:pPr>
      <w:r w:rsidRPr="00FB4615">
        <w:rPr>
          <w:rFonts w:eastAsia="Times New Roman"/>
          <w:iCs/>
          <w:szCs w:val="24"/>
          <w:lang w:eastAsia="ru-RU"/>
        </w:rPr>
        <w:t xml:space="preserve">Виноградова </w:t>
      </w:r>
      <w:r>
        <w:rPr>
          <w:rFonts w:eastAsia="Times New Roman"/>
          <w:iCs/>
          <w:szCs w:val="24"/>
          <w:lang w:eastAsia="ru-RU"/>
        </w:rPr>
        <w:t>Ю.</w:t>
      </w:r>
      <w:r w:rsidRPr="00FB4615">
        <w:rPr>
          <w:rFonts w:eastAsia="Times New Roman"/>
          <w:iCs/>
          <w:szCs w:val="24"/>
          <w:lang w:eastAsia="ru-RU"/>
        </w:rPr>
        <w:t>Е.</w:t>
      </w:r>
      <w:r>
        <w:rPr>
          <w:rFonts w:eastAsia="Times New Roman"/>
          <w:iCs/>
          <w:szCs w:val="24"/>
          <w:lang w:eastAsia="ru-RU"/>
        </w:rPr>
        <w:t xml:space="preserve">, </w:t>
      </w:r>
      <w:r w:rsidRPr="00FB4615">
        <w:rPr>
          <w:rFonts w:eastAsia="Times New Roman"/>
          <w:iCs/>
          <w:szCs w:val="24"/>
          <w:lang w:eastAsia="ru-RU"/>
        </w:rPr>
        <w:t xml:space="preserve">Цыба </w:t>
      </w:r>
      <w:r>
        <w:rPr>
          <w:rFonts w:eastAsia="Times New Roman"/>
          <w:iCs/>
          <w:szCs w:val="24"/>
          <w:lang w:eastAsia="ru-RU"/>
        </w:rPr>
        <w:t>Н.</w:t>
      </w:r>
      <w:r w:rsidRPr="00FB4615">
        <w:rPr>
          <w:rFonts w:eastAsia="Times New Roman"/>
          <w:iCs/>
          <w:szCs w:val="24"/>
          <w:lang w:eastAsia="ru-RU"/>
        </w:rPr>
        <w:t>Н.</w:t>
      </w:r>
      <w:r>
        <w:rPr>
          <w:rFonts w:eastAsia="Times New Roman"/>
          <w:iCs/>
          <w:szCs w:val="24"/>
          <w:lang w:eastAsia="ru-RU"/>
        </w:rPr>
        <w:t xml:space="preserve">, </w:t>
      </w:r>
      <w:r w:rsidRPr="00FB4615">
        <w:rPr>
          <w:rFonts w:eastAsia="Times New Roman"/>
          <w:iCs/>
          <w:szCs w:val="24"/>
          <w:lang w:eastAsia="ru-RU"/>
        </w:rPr>
        <w:t>Гилязитдинова</w:t>
      </w:r>
      <w:r>
        <w:rPr>
          <w:rFonts w:eastAsia="Times New Roman"/>
          <w:i/>
          <w:iCs/>
          <w:szCs w:val="24"/>
          <w:lang w:eastAsia="ru-RU"/>
        </w:rPr>
        <w:t xml:space="preserve"> </w:t>
      </w:r>
      <w:r>
        <w:rPr>
          <w:rFonts w:eastAsia="Times New Roman"/>
          <w:iCs/>
          <w:szCs w:val="24"/>
          <w:lang w:eastAsia="ru-RU"/>
        </w:rPr>
        <w:t>Е.</w:t>
      </w:r>
      <w:r w:rsidRPr="00FB4615">
        <w:rPr>
          <w:rFonts w:eastAsia="Times New Roman"/>
          <w:iCs/>
          <w:szCs w:val="24"/>
          <w:lang w:eastAsia="ru-RU"/>
        </w:rPr>
        <w:t>А.</w:t>
      </w:r>
      <w:r w:rsidRPr="00FB4615">
        <w:rPr>
          <w:rFonts w:eastAsia="Times New Roman"/>
          <w:i/>
          <w:iCs/>
          <w:szCs w:val="24"/>
          <w:lang w:eastAsia="ru-RU"/>
        </w:rPr>
        <w:t xml:space="preserve"> </w:t>
      </w:r>
      <w:r>
        <w:rPr>
          <w:rFonts w:eastAsia="Times New Roman"/>
          <w:iCs/>
          <w:szCs w:val="24"/>
          <w:lang w:eastAsia="ru-RU"/>
        </w:rPr>
        <w:t xml:space="preserve">и др. </w:t>
      </w:r>
      <w:r w:rsidRPr="00FB4615">
        <w:rPr>
          <w:rFonts w:eastAsia="Times New Roman"/>
          <w:szCs w:val="24"/>
          <w:lang w:eastAsia="ru-RU"/>
        </w:rPr>
        <w:t>Опыт лечения грибовидного микоза</w:t>
      </w:r>
      <w:r>
        <w:rPr>
          <w:rFonts w:eastAsia="Times New Roman"/>
          <w:szCs w:val="24"/>
          <w:lang w:eastAsia="ru-RU"/>
        </w:rPr>
        <w:t xml:space="preserve"> </w:t>
      </w:r>
      <w:r w:rsidRPr="00FB4615">
        <w:rPr>
          <w:rFonts w:eastAsia="Times New Roman"/>
          <w:szCs w:val="24"/>
          <w:lang w:eastAsia="ru-RU"/>
        </w:rPr>
        <w:t>и синдрома Сезари в зависимости от стадий</w:t>
      </w:r>
      <w:r>
        <w:rPr>
          <w:rFonts w:eastAsia="Times New Roman"/>
          <w:szCs w:val="24"/>
          <w:lang w:eastAsia="ru-RU"/>
        </w:rPr>
        <w:t xml:space="preserve"> </w:t>
      </w:r>
      <w:r w:rsidRPr="00FB4615">
        <w:rPr>
          <w:rFonts w:eastAsia="Times New Roman"/>
          <w:szCs w:val="24"/>
          <w:lang w:eastAsia="ru-RU"/>
        </w:rPr>
        <w:t>заболевания. Результаты собственных</w:t>
      </w:r>
      <w:r>
        <w:rPr>
          <w:rFonts w:eastAsia="Times New Roman"/>
          <w:szCs w:val="24"/>
          <w:lang w:eastAsia="ru-RU"/>
        </w:rPr>
        <w:t xml:space="preserve"> </w:t>
      </w:r>
      <w:r w:rsidRPr="00FB4615">
        <w:rPr>
          <w:rFonts w:eastAsia="Times New Roman"/>
          <w:szCs w:val="24"/>
          <w:lang w:eastAsia="ru-RU"/>
        </w:rPr>
        <w:t>исследований и обзор литературы</w:t>
      </w:r>
      <w:r>
        <w:rPr>
          <w:rFonts w:eastAsia="Times New Roman"/>
          <w:szCs w:val="24"/>
          <w:lang w:eastAsia="ru-RU"/>
        </w:rPr>
        <w:t>. Клиническая онкогематология 2009; 2 (4): 326–333.</w:t>
      </w:r>
    </w:p>
    <w:p w:rsidR="003F054F" w:rsidRPr="00F63A3F" w:rsidRDefault="003F054F" w:rsidP="003F054F">
      <w:pPr>
        <w:pStyle w:val="afd"/>
        <w:numPr>
          <w:ilvl w:val="0"/>
          <w:numId w:val="28"/>
        </w:numPr>
        <w:ind w:hanging="720"/>
        <w:rPr>
          <w:szCs w:val="24"/>
          <w:lang w:val="en-US"/>
        </w:rPr>
      </w:pPr>
      <w:r w:rsidRPr="00FB4615">
        <w:rPr>
          <w:bCs/>
          <w:iCs/>
        </w:rPr>
        <w:t xml:space="preserve">Карамова А.Э., Чикин В.В., Знаменская Л.Ф., Воронцова А.А. Т-клеточные лимфомы кожи: дифференциальная диагностика эритродермических состояний. </w:t>
      </w:r>
      <w:r w:rsidRPr="00FB4615">
        <w:rPr>
          <w:bCs/>
        </w:rPr>
        <w:t>Вест</w:t>
      </w:r>
      <w:r>
        <w:rPr>
          <w:bCs/>
        </w:rPr>
        <w:t>ник дерматологии и венерологии.</w:t>
      </w:r>
      <w:r w:rsidRPr="00FB4615">
        <w:rPr>
          <w:bCs/>
        </w:rPr>
        <w:t xml:space="preserve"> 2019</w:t>
      </w:r>
      <w:r>
        <w:rPr>
          <w:bCs/>
        </w:rPr>
        <w:t xml:space="preserve">; </w:t>
      </w:r>
      <w:r w:rsidRPr="00FB4615">
        <w:rPr>
          <w:bCs/>
        </w:rPr>
        <w:t>95</w:t>
      </w:r>
      <w:r>
        <w:rPr>
          <w:bCs/>
        </w:rPr>
        <w:t xml:space="preserve"> (</w:t>
      </w:r>
      <w:r w:rsidRPr="00FB4615">
        <w:rPr>
          <w:bCs/>
        </w:rPr>
        <w:t>5</w:t>
      </w:r>
      <w:r>
        <w:rPr>
          <w:bCs/>
        </w:rPr>
        <w:t xml:space="preserve">): </w:t>
      </w:r>
      <w:r w:rsidRPr="00FB4615">
        <w:rPr>
          <w:bCs/>
        </w:rPr>
        <w:t>24–32.</w:t>
      </w:r>
    </w:p>
    <w:p w:rsidR="003F054F" w:rsidRPr="00F63A3F" w:rsidRDefault="003F054F" w:rsidP="003F054F">
      <w:pPr>
        <w:pStyle w:val="afd"/>
        <w:numPr>
          <w:ilvl w:val="0"/>
          <w:numId w:val="28"/>
        </w:numPr>
        <w:ind w:hanging="720"/>
        <w:rPr>
          <w:szCs w:val="24"/>
          <w:lang w:val="en-US"/>
        </w:rPr>
      </w:pPr>
      <w:r w:rsidRPr="00F63A3F">
        <w:rPr>
          <w:szCs w:val="24"/>
          <w:lang w:val="en-US"/>
        </w:rPr>
        <w:t xml:space="preserve">Ponti R., Quaglino P., Novelli M. et al. T-cell receptor gamma gene rearrangement by multiplex polymerase chain reaction/heteroduplex analysis in patients with cutaneous T-cell lymphoma (mycosis fungoides/Sezary syndrome) and benign inflammatory disease: </w:t>
      </w:r>
      <w:r w:rsidRPr="00F63A3F">
        <w:rPr>
          <w:szCs w:val="24"/>
          <w:lang w:val="en-US"/>
        </w:rPr>
        <w:lastRenderedPageBreak/>
        <w:t xml:space="preserve">correlation with clinical, histological and immunophenotypical findings. </w:t>
      </w:r>
      <w:r w:rsidRPr="00F63A3F">
        <w:rPr>
          <w:iCs/>
          <w:szCs w:val="24"/>
          <w:lang w:val="en-US"/>
        </w:rPr>
        <w:t>Br J Dermatol</w:t>
      </w:r>
      <w:r w:rsidRPr="00F63A3F">
        <w:rPr>
          <w:i/>
          <w:iCs/>
          <w:szCs w:val="24"/>
          <w:lang w:val="en-US"/>
        </w:rPr>
        <w:t xml:space="preserve">. </w:t>
      </w:r>
      <w:r w:rsidRPr="00F63A3F">
        <w:rPr>
          <w:szCs w:val="24"/>
          <w:lang w:val="en-US"/>
        </w:rPr>
        <w:t>2005;</w:t>
      </w:r>
      <w:r w:rsidR="00DE7BBA" w:rsidRPr="00DE7BBA">
        <w:rPr>
          <w:szCs w:val="24"/>
          <w:lang w:val="en-US"/>
        </w:rPr>
        <w:t xml:space="preserve"> </w:t>
      </w:r>
      <w:r w:rsidRPr="00F63A3F">
        <w:rPr>
          <w:szCs w:val="24"/>
          <w:lang w:val="en-US"/>
        </w:rPr>
        <w:t>153</w:t>
      </w:r>
      <w:r w:rsidR="00DE7BBA" w:rsidRPr="00DE7BBA">
        <w:rPr>
          <w:szCs w:val="24"/>
          <w:lang w:val="en-US"/>
        </w:rPr>
        <w:t xml:space="preserve"> </w:t>
      </w:r>
      <w:r w:rsidRPr="00F63A3F">
        <w:rPr>
          <w:szCs w:val="24"/>
          <w:lang w:val="en-US"/>
        </w:rPr>
        <w:t>(3):</w:t>
      </w:r>
      <w:r w:rsidR="00DE7BBA" w:rsidRPr="00DE7BBA">
        <w:rPr>
          <w:szCs w:val="24"/>
          <w:lang w:val="en-US"/>
        </w:rPr>
        <w:t xml:space="preserve"> </w:t>
      </w:r>
      <w:r w:rsidRPr="00F63A3F">
        <w:rPr>
          <w:szCs w:val="24"/>
          <w:lang w:val="en-US"/>
        </w:rPr>
        <w:t>565</w:t>
      </w:r>
      <w:r w:rsidRPr="00F63A3F">
        <w:rPr>
          <w:rFonts w:eastAsia="Times New Roman"/>
          <w:szCs w:val="24"/>
          <w:lang w:val="en-US"/>
        </w:rPr>
        <w:t>–</w:t>
      </w:r>
      <w:r w:rsidRPr="00F63A3F">
        <w:rPr>
          <w:szCs w:val="24"/>
          <w:lang w:val="en-US"/>
        </w:rPr>
        <w:t>573.</w:t>
      </w:r>
    </w:p>
    <w:p w:rsidR="003F054F" w:rsidRPr="00F63A3F" w:rsidRDefault="003F054F" w:rsidP="003F054F">
      <w:pPr>
        <w:pStyle w:val="afd"/>
        <w:numPr>
          <w:ilvl w:val="0"/>
          <w:numId w:val="28"/>
        </w:numPr>
        <w:ind w:hanging="720"/>
        <w:rPr>
          <w:szCs w:val="24"/>
          <w:lang w:val="en-US"/>
        </w:rPr>
      </w:pPr>
      <w:r w:rsidRPr="00F63A3F">
        <w:rPr>
          <w:szCs w:val="24"/>
          <w:lang w:val="en-US"/>
        </w:rPr>
        <w:t xml:space="preserve">Kirsch I.R., Watanabe R., O’Malley J.T. et al. TCR sequencing facilitates diagnosis and identifies mature T cells as the cell of origin in CTCL. </w:t>
      </w:r>
      <w:r w:rsidRPr="00F63A3F">
        <w:rPr>
          <w:iCs/>
          <w:szCs w:val="24"/>
          <w:lang w:val="en-US"/>
        </w:rPr>
        <w:t>Sci Transl Med</w:t>
      </w:r>
      <w:r w:rsidRPr="00F63A3F">
        <w:rPr>
          <w:i/>
          <w:iCs/>
          <w:szCs w:val="24"/>
          <w:lang w:val="en-US"/>
        </w:rPr>
        <w:t xml:space="preserve">. </w:t>
      </w:r>
      <w:r w:rsidRPr="00F63A3F">
        <w:rPr>
          <w:szCs w:val="24"/>
          <w:lang w:val="en-US"/>
        </w:rPr>
        <w:t>2015; 7 (308): 308ra158.</w:t>
      </w:r>
    </w:p>
    <w:p w:rsidR="003F054F" w:rsidRDefault="003F054F" w:rsidP="003F054F">
      <w:pPr>
        <w:pStyle w:val="afd"/>
        <w:numPr>
          <w:ilvl w:val="0"/>
          <w:numId w:val="28"/>
        </w:numPr>
        <w:ind w:hanging="720"/>
        <w:rPr>
          <w:szCs w:val="24"/>
          <w:lang w:val="en-US"/>
        </w:rPr>
      </w:pPr>
      <w:r w:rsidRPr="00F63A3F">
        <w:rPr>
          <w:szCs w:val="24"/>
          <w:lang w:val="en-US"/>
        </w:rPr>
        <w:t xml:space="preserve">Vonderheid E.C. On the diagnosis of erythrodermic cutaneous T-cell lymphoma. </w:t>
      </w:r>
      <w:r w:rsidRPr="00F63A3F">
        <w:rPr>
          <w:iCs/>
          <w:szCs w:val="24"/>
          <w:lang w:val="en-US"/>
        </w:rPr>
        <w:t>J Cutan Pathol</w:t>
      </w:r>
      <w:r w:rsidRPr="00F63A3F">
        <w:rPr>
          <w:szCs w:val="24"/>
          <w:lang w:val="en-US"/>
        </w:rPr>
        <w:t>. 2006; 33 (Suppl 1): 27</w:t>
      </w:r>
      <w:r w:rsidRPr="00F63A3F">
        <w:rPr>
          <w:rFonts w:eastAsia="Times New Roman"/>
          <w:szCs w:val="24"/>
          <w:lang w:val="en-US"/>
        </w:rPr>
        <w:t>–</w:t>
      </w:r>
      <w:r w:rsidRPr="00F63A3F">
        <w:rPr>
          <w:szCs w:val="24"/>
          <w:lang w:val="en-US"/>
        </w:rPr>
        <w:t>42.</w:t>
      </w:r>
    </w:p>
    <w:p w:rsidR="003F054F" w:rsidRDefault="003F054F" w:rsidP="003F054F">
      <w:pPr>
        <w:pStyle w:val="afd"/>
        <w:numPr>
          <w:ilvl w:val="0"/>
          <w:numId w:val="28"/>
        </w:numPr>
        <w:ind w:hanging="720"/>
        <w:rPr>
          <w:szCs w:val="24"/>
          <w:lang w:val="en-US"/>
        </w:rPr>
      </w:pPr>
      <w:r w:rsidRPr="0050565C">
        <w:rPr>
          <w:rFonts w:eastAsia="Times New Roman"/>
          <w:bCs/>
          <w:kern w:val="36"/>
          <w:szCs w:val="24"/>
          <w:lang w:val="en-US" w:eastAsia="ru-RU"/>
        </w:rPr>
        <w:t>Mann</w:t>
      </w:r>
      <w:r>
        <w:rPr>
          <w:rFonts w:eastAsia="Times New Roman"/>
          <w:bCs/>
          <w:kern w:val="36"/>
          <w:szCs w:val="24"/>
          <w:lang w:val="en-US" w:eastAsia="ru-RU"/>
        </w:rPr>
        <w:t xml:space="preserve"> B.S.</w:t>
      </w:r>
      <w:r w:rsidRPr="0050565C">
        <w:rPr>
          <w:rFonts w:eastAsia="Times New Roman"/>
          <w:bCs/>
          <w:kern w:val="36"/>
          <w:szCs w:val="24"/>
          <w:lang w:val="en-US" w:eastAsia="ru-RU"/>
        </w:rPr>
        <w:t>,  Johnson J</w:t>
      </w:r>
      <w:r>
        <w:rPr>
          <w:rFonts w:eastAsia="Times New Roman"/>
          <w:bCs/>
          <w:kern w:val="36"/>
          <w:szCs w:val="24"/>
          <w:lang w:val="en-US" w:eastAsia="ru-RU"/>
        </w:rPr>
        <w:t>.</w:t>
      </w:r>
      <w:r w:rsidRPr="0050565C">
        <w:rPr>
          <w:rFonts w:eastAsia="Times New Roman"/>
          <w:bCs/>
          <w:kern w:val="36"/>
          <w:szCs w:val="24"/>
          <w:lang w:val="en-US" w:eastAsia="ru-RU"/>
        </w:rPr>
        <w:t>R,  Cohen</w:t>
      </w:r>
      <w:r>
        <w:rPr>
          <w:rFonts w:eastAsia="Times New Roman"/>
          <w:bCs/>
          <w:kern w:val="36"/>
          <w:szCs w:val="24"/>
          <w:lang w:val="en-US" w:eastAsia="ru-RU"/>
        </w:rPr>
        <w:t xml:space="preserve"> </w:t>
      </w:r>
      <w:r w:rsidRPr="0050565C">
        <w:rPr>
          <w:rFonts w:eastAsia="Times New Roman"/>
          <w:bCs/>
          <w:kern w:val="36"/>
          <w:szCs w:val="24"/>
          <w:lang w:val="en-US" w:eastAsia="ru-RU"/>
        </w:rPr>
        <w:t>M</w:t>
      </w:r>
      <w:r>
        <w:rPr>
          <w:rFonts w:eastAsia="Times New Roman"/>
          <w:bCs/>
          <w:kern w:val="36"/>
          <w:szCs w:val="24"/>
          <w:lang w:val="en-US" w:eastAsia="ru-RU"/>
        </w:rPr>
        <w:t>.</w:t>
      </w:r>
      <w:r w:rsidRPr="0050565C">
        <w:rPr>
          <w:rFonts w:eastAsia="Times New Roman"/>
          <w:bCs/>
          <w:kern w:val="36"/>
          <w:szCs w:val="24"/>
          <w:lang w:val="en-US" w:eastAsia="ru-RU"/>
        </w:rPr>
        <w:t>H</w:t>
      </w:r>
      <w:r>
        <w:rPr>
          <w:rFonts w:eastAsia="Times New Roman"/>
          <w:bCs/>
          <w:kern w:val="36"/>
          <w:szCs w:val="24"/>
          <w:lang w:val="en-US" w:eastAsia="ru-RU"/>
        </w:rPr>
        <w:t>.</w:t>
      </w:r>
      <w:r w:rsidRPr="00095341">
        <w:rPr>
          <w:kern w:val="36"/>
          <w:lang w:val="en-US"/>
        </w:rPr>
        <w:t xml:space="preserve"> et al. </w:t>
      </w:r>
      <w:r w:rsidRPr="0050565C">
        <w:rPr>
          <w:rFonts w:eastAsia="Times New Roman"/>
          <w:bCs/>
          <w:kern w:val="36"/>
          <w:szCs w:val="24"/>
          <w:lang w:val="en-US" w:eastAsia="ru-RU"/>
        </w:rPr>
        <w:t xml:space="preserve">FDA </w:t>
      </w:r>
      <w:r>
        <w:rPr>
          <w:rFonts w:eastAsia="Times New Roman"/>
          <w:bCs/>
          <w:kern w:val="36"/>
          <w:szCs w:val="24"/>
          <w:lang w:val="en-US" w:eastAsia="ru-RU"/>
        </w:rPr>
        <w:t>a</w:t>
      </w:r>
      <w:r w:rsidRPr="0050565C">
        <w:rPr>
          <w:rFonts w:eastAsia="Times New Roman"/>
          <w:bCs/>
          <w:kern w:val="36"/>
          <w:szCs w:val="24"/>
          <w:lang w:val="en-US" w:eastAsia="ru-RU"/>
        </w:rPr>
        <w:t xml:space="preserve">pproval </w:t>
      </w:r>
      <w:r>
        <w:rPr>
          <w:rFonts w:eastAsia="Times New Roman"/>
          <w:bCs/>
          <w:kern w:val="36"/>
          <w:szCs w:val="24"/>
          <w:lang w:val="en-US" w:eastAsia="ru-RU"/>
        </w:rPr>
        <w:t>s</w:t>
      </w:r>
      <w:r w:rsidRPr="0050565C">
        <w:rPr>
          <w:rFonts w:eastAsia="Times New Roman"/>
          <w:bCs/>
          <w:kern w:val="36"/>
          <w:szCs w:val="24"/>
          <w:lang w:val="en-US" w:eastAsia="ru-RU"/>
        </w:rPr>
        <w:t xml:space="preserve">ummary: </w:t>
      </w:r>
      <w:r>
        <w:rPr>
          <w:rFonts w:eastAsia="Times New Roman"/>
          <w:bCs/>
          <w:kern w:val="36"/>
          <w:szCs w:val="24"/>
          <w:lang w:val="en-US" w:eastAsia="ru-RU"/>
        </w:rPr>
        <w:t>v</w:t>
      </w:r>
      <w:r w:rsidRPr="0050565C">
        <w:rPr>
          <w:rFonts w:eastAsia="Times New Roman"/>
          <w:bCs/>
          <w:kern w:val="36"/>
          <w:szCs w:val="24"/>
          <w:lang w:val="en-US" w:eastAsia="ru-RU"/>
        </w:rPr>
        <w:t xml:space="preserve">orinostat for </w:t>
      </w:r>
      <w:r>
        <w:rPr>
          <w:rFonts w:eastAsia="Times New Roman"/>
          <w:bCs/>
          <w:kern w:val="36"/>
          <w:szCs w:val="24"/>
          <w:lang w:val="en-US" w:eastAsia="ru-RU"/>
        </w:rPr>
        <w:t>t</w:t>
      </w:r>
      <w:r w:rsidRPr="0050565C">
        <w:rPr>
          <w:rFonts w:eastAsia="Times New Roman"/>
          <w:bCs/>
          <w:kern w:val="36"/>
          <w:szCs w:val="24"/>
          <w:lang w:val="en-US" w:eastAsia="ru-RU"/>
        </w:rPr>
        <w:t xml:space="preserve">reatment of </w:t>
      </w:r>
      <w:r>
        <w:rPr>
          <w:rFonts w:eastAsia="Times New Roman"/>
          <w:bCs/>
          <w:kern w:val="36"/>
          <w:szCs w:val="24"/>
          <w:lang w:val="en-US" w:eastAsia="ru-RU"/>
        </w:rPr>
        <w:t>a</w:t>
      </w:r>
      <w:r w:rsidRPr="0050565C">
        <w:rPr>
          <w:rFonts w:eastAsia="Times New Roman"/>
          <w:bCs/>
          <w:kern w:val="36"/>
          <w:szCs w:val="24"/>
          <w:lang w:val="en-US" w:eastAsia="ru-RU"/>
        </w:rPr>
        <w:t xml:space="preserve">dvanced </w:t>
      </w:r>
      <w:r>
        <w:rPr>
          <w:rFonts w:eastAsia="Times New Roman"/>
          <w:bCs/>
          <w:kern w:val="36"/>
          <w:szCs w:val="24"/>
          <w:lang w:val="en-US" w:eastAsia="ru-RU"/>
        </w:rPr>
        <w:t>p</w:t>
      </w:r>
      <w:r w:rsidRPr="0050565C">
        <w:rPr>
          <w:rFonts w:eastAsia="Times New Roman"/>
          <w:bCs/>
          <w:kern w:val="36"/>
          <w:szCs w:val="24"/>
          <w:lang w:val="en-US" w:eastAsia="ru-RU"/>
        </w:rPr>
        <w:t xml:space="preserve">rimary </w:t>
      </w:r>
      <w:r>
        <w:rPr>
          <w:rFonts w:eastAsia="Times New Roman"/>
          <w:bCs/>
          <w:kern w:val="36"/>
          <w:szCs w:val="24"/>
          <w:lang w:val="en-US" w:eastAsia="ru-RU"/>
        </w:rPr>
        <w:t>c</w:t>
      </w:r>
      <w:r w:rsidRPr="0050565C">
        <w:rPr>
          <w:rFonts w:eastAsia="Times New Roman"/>
          <w:bCs/>
          <w:kern w:val="36"/>
          <w:szCs w:val="24"/>
          <w:lang w:val="en-US" w:eastAsia="ru-RU"/>
        </w:rPr>
        <w:t xml:space="preserve">utaneous T-cell </w:t>
      </w:r>
      <w:r>
        <w:rPr>
          <w:rFonts w:eastAsia="Times New Roman"/>
          <w:bCs/>
          <w:kern w:val="36"/>
          <w:szCs w:val="24"/>
          <w:lang w:val="en-US" w:eastAsia="ru-RU"/>
        </w:rPr>
        <w:t>l</w:t>
      </w:r>
      <w:r w:rsidRPr="0050565C">
        <w:rPr>
          <w:rFonts w:eastAsia="Times New Roman"/>
          <w:bCs/>
          <w:kern w:val="36"/>
          <w:szCs w:val="24"/>
          <w:lang w:val="en-US" w:eastAsia="ru-RU"/>
        </w:rPr>
        <w:t>ymphoma</w:t>
      </w:r>
      <w:r>
        <w:rPr>
          <w:rFonts w:eastAsia="Times New Roman"/>
          <w:bCs/>
          <w:kern w:val="36"/>
          <w:szCs w:val="24"/>
          <w:lang w:val="en-US" w:eastAsia="ru-RU"/>
        </w:rPr>
        <w:t xml:space="preserve">. </w:t>
      </w:r>
      <w:r w:rsidRPr="0050565C">
        <w:rPr>
          <w:rFonts w:eastAsia="Times New Roman"/>
          <w:szCs w:val="24"/>
          <w:lang w:val="en-US" w:eastAsia="ru-RU"/>
        </w:rPr>
        <w:t>Oncologist 2007</w:t>
      </w:r>
      <w:r>
        <w:rPr>
          <w:rFonts w:eastAsia="Times New Roman"/>
          <w:szCs w:val="24"/>
          <w:lang w:val="en-US" w:eastAsia="ru-RU"/>
        </w:rPr>
        <w:t xml:space="preserve">; </w:t>
      </w:r>
      <w:r w:rsidRPr="0050565C">
        <w:rPr>
          <w:rFonts w:eastAsia="Times New Roman"/>
          <w:szCs w:val="24"/>
          <w:lang w:val="en-US" w:eastAsia="ru-RU"/>
        </w:rPr>
        <w:t>12 (10)</w:t>
      </w:r>
      <w:r>
        <w:rPr>
          <w:rFonts w:eastAsia="Times New Roman"/>
          <w:szCs w:val="24"/>
          <w:lang w:val="en-US" w:eastAsia="ru-RU"/>
        </w:rPr>
        <w:t>:</w:t>
      </w:r>
      <w:r w:rsidRPr="0050565C">
        <w:rPr>
          <w:rFonts w:eastAsia="Times New Roman"/>
          <w:szCs w:val="24"/>
          <w:lang w:val="en-US" w:eastAsia="ru-RU"/>
        </w:rPr>
        <w:t xml:space="preserve"> 1247</w:t>
      </w:r>
      <w:r w:rsidRPr="00F63A3F">
        <w:rPr>
          <w:rFonts w:eastAsia="Times New Roman"/>
          <w:szCs w:val="24"/>
          <w:lang w:val="en-US"/>
        </w:rPr>
        <w:t>–</w:t>
      </w:r>
      <w:r>
        <w:rPr>
          <w:rFonts w:eastAsia="Times New Roman"/>
          <w:szCs w:val="24"/>
          <w:lang w:val="en-US" w:eastAsia="ru-RU"/>
        </w:rPr>
        <w:t>12</w:t>
      </w:r>
      <w:r w:rsidRPr="0050565C">
        <w:rPr>
          <w:rFonts w:eastAsia="Times New Roman"/>
          <w:szCs w:val="24"/>
          <w:lang w:val="en-US" w:eastAsia="ru-RU"/>
        </w:rPr>
        <w:t>52</w:t>
      </w:r>
      <w:r>
        <w:rPr>
          <w:rFonts w:eastAsia="Times New Roman"/>
          <w:szCs w:val="24"/>
          <w:lang w:val="en-US" w:eastAsia="ru-RU"/>
        </w:rPr>
        <w:t>.</w:t>
      </w:r>
    </w:p>
    <w:p w:rsidR="003F054F" w:rsidRPr="00E6620A" w:rsidRDefault="003F054F" w:rsidP="003F054F">
      <w:pPr>
        <w:pStyle w:val="afd"/>
        <w:numPr>
          <w:ilvl w:val="0"/>
          <w:numId w:val="28"/>
        </w:numPr>
        <w:ind w:hanging="720"/>
        <w:rPr>
          <w:szCs w:val="24"/>
        </w:rPr>
      </w:pPr>
      <w:r>
        <w:rPr>
          <w:szCs w:val="24"/>
        </w:rPr>
        <w:t>Лезвинская Е.М., Вавилов А.М. Лимфопролиферативные опухоли кожи: руководство для врачей. – М.: Практическая медицина, 2010. – 366 с.</w:t>
      </w:r>
    </w:p>
    <w:p w:rsidR="003F054F" w:rsidRPr="00E6620A" w:rsidRDefault="003F054F" w:rsidP="003F054F">
      <w:pPr>
        <w:pStyle w:val="afd"/>
        <w:numPr>
          <w:ilvl w:val="0"/>
          <w:numId w:val="28"/>
        </w:numPr>
        <w:ind w:hanging="720"/>
        <w:rPr>
          <w:szCs w:val="24"/>
          <w:lang w:val="en-US"/>
        </w:rPr>
      </w:pPr>
      <w:r w:rsidRPr="0061039F">
        <w:rPr>
          <w:szCs w:val="24"/>
          <w:lang w:val="en-US"/>
        </w:rPr>
        <w:t>Wallace C</w:t>
      </w:r>
      <w:r>
        <w:rPr>
          <w:szCs w:val="24"/>
          <w:lang w:val="en-US"/>
        </w:rPr>
        <w:t>.</w:t>
      </w:r>
      <w:r w:rsidRPr="0061039F">
        <w:rPr>
          <w:szCs w:val="24"/>
          <w:lang w:val="en-US"/>
        </w:rPr>
        <w:t>A</w:t>
      </w:r>
      <w:r>
        <w:rPr>
          <w:szCs w:val="24"/>
          <w:lang w:val="en-US"/>
        </w:rPr>
        <w:t>.</w:t>
      </w:r>
      <w:r w:rsidRPr="0061039F">
        <w:rPr>
          <w:szCs w:val="24"/>
          <w:lang w:val="en-US"/>
        </w:rPr>
        <w:t>, Sherry D</w:t>
      </w:r>
      <w:r>
        <w:rPr>
          <w:szCs w:val="24"/>
          <w:lang w:val="en-US"/>
        </w:rPr>
        <w:t>.</w:t>
      </w:r>
      <w:r w:rsidRPr="0061039F">
        <w:rPr>
          <w:szCs w:val="24"/>
          <w:lang w:val="en-US"/>
        </w:rPr>
        <w:t>D. A practical approach to avoidance of methotrexate toxicity [editorial] J Rheumatol. 1995; 22: 1009–1012.</w:t>
      </w:r>
    </w:p>
    <w:p w:rsidR="003F054F" w:rsidRPr="00E6620A" w:rsidRDefault="003F054F" w:rsidP="003F054F">
      <w:pPr>
        <w:pStyle w:val="afd"/>
        <w:numPr>
          <w:ilvl w:val="0"/>
          <w:numId w:val="28"/>
        </w:numPr>
        <w:ind w:hanging="720"/>
        <w:rPr>
          <w:szCs w:val="24"/>
          <w:lang w:val="en-US"/>
        </w:rPr>
      </w:pPr>
      <w:r w:rsidRPr="00074DE5">
        <w:rPr>
          <w:bCs/>
          <w:szCs w:val="24"/>
          <w:lang w:val="en-US"/>
        </w:rPr>
        <w:t>Wood G.S., Wu</w:t>
      </w:r>
      <w:r w:rsidRPr="00074DE5">
        <w:rPr>
          <w:bCs/>
          <w:sz w:val="20"/>
          <w:szCs w:val="20"/>
          <w:lang w:val="en-US"/>
        </w:rPr>
        <w:t xml:space="preserve">  </w:t>
      </w:r>
      <w:r w:rsidRPr="00074DE5">
        <w:rPr>
          <w:bCs/>
          <w:szCs w:val="24"/>
          <w:lang w:val="en-US"/>
        </w:rPr>
        <w:t>J.</w:t>
      </w:r>
      <w:r w:rsidRPr="00074DE5">
        <w:rPr>
          <w:b/>
          <w:bCs/>
          <w:szCs w:val="24"/>
          <w:lang w:val="en-US"/>
        </w:rPr>
        <w:t xml:space="preserve"> </w:t>
      </w:r>
      <w:r w:rsidRPr="00074DE5">
        <w:rPr>
          <w:bCs/>
          <w:szCs w:val="24"/>
          <w:lang w:val="en-US"/>
        </w:rPr>
        <w:t xml:space="preserve">Methotrexate and </w:t>
      </w:r>
      <w:r>
        <w:rPr>
          <w:bCs/>
          <w:szCs w:val="24"/>
          <w:lang w:val="en-US"/>
        </w:rPr>
        <w:t>p</w:t>
      </w:r>
      <w:r w:rsidRPr="00074DE5">
        <w:rPr>
          <w:bCs/>
          <w:szCs w:val="24"/>
          <w:lang w:val="en-US"/>
        </w:rPr>
        <w:t>ralatrexate</w:t>
      </w:r>
      <w:r>
        <w:rPr>
          <w:bCs/>
          <w:szCs w:val="24"/>
          <w:lang w:val="en-US"/>
        </w:rPr>
        <w:t xml:space="preserve">. </w:t>
      </w:r>
      <w:r w:rsidRPr="00074DE5">
        <w:rPr>
          <w:bCs/>
          <w:szCs w:val="24"/>
          <w:lang w:val="en-US"/>
        </w:rPr>
        <w:t>Dermatol Clin. 2015; 33</w:t>
      </w:r>
      <w:r>
        <w:rPr>
          <w:bCs/>
          <w:szCs w:val="24"/>
          <w:lang w:val="en-US"/>
        </w:rPr>
        <w:t xml:space="preserve"> </w:t>
      </w:r>
      <w:r w:rsidRPr="00074DE5">
        <w:rPr>
          <w:bCs/>
          <w:szCs w:val="24"/>
          <w:lang w:val="en-US"/>
        </w:rPr>
        <w:t>(4): 747–755.</w:t>
      </w:r>
    </w:p>
    <w:p w:rsidR="003F054F" w:rsidRPr="00E6620A" w:rsidRDefault="003F054F" w:rsidP="003F054F">
      <w:pPr>
        <w:pStyle w:val="afd"/>
        <w:numPr>
          <w:ilvl w:val="0"/>
          <w:numId w:val="28"/>
        </w:numPr>
        <w:ind w:hanging="720"/>
        <w:rPr>
          <w:szCs w:val="24"/>
          <w:lang w:val="en-US"/>
        </w:rPr>
      </w:pPr>
      <w:r w:rsidRPr="0036384C">
        <w:rPr>
          <w:color w:val="000000"/>
          <w:szCs w:val="24"/>
          <w:lang w:val="en-US"/>
        </w:rPr>
        <w:t>Busger op Vollenbroek F</w:t>
      </w:r>
      <w:r>
        <w:rPr>
          <w:lang w:val="en-US"/>
        </w:rPr>
        <w:t>.</w:t>
      </w:r>
      <w:r w:rsidRPr="0036384C">
        <w:rPr>
          <w:color w:val="000000"/>
          <w:szCs w:val="24"/>
          <w:lang w:val="en-US"/>
        </w:rPr>
        <w:t>T</w:t>
      </w:r>
      <w:r>
        <w:rPr>
          <w:lang w:val="en-US"/>
        </w:rPr>
        <w:t>.</w:t>
      </w:r>
      <w:r w:rsidRPr="0036384C">
        <w:rPr>
          <w:color w:val="000000"/>
          <w:szCs w:val="24"/>
          <w:lang w:val="en-US"/>
        </w:rPr>
        <w:t>, Doggen</w:t>
      </w:r>
      <w:r>
        <w:rPr>
          <w:lang w:val="en-US"/>
        </w:rPr>
        <w:t xml:space="preserve"> </w:t>
      </w:r>
      <w:r w:rsidRPr="0036384C">
        <w:rPr>
          <w:lang w:val="en-US"/>
        </w:rPr>
        <w:t>C</w:t>
      </w:r>
      <w:r>
        <w:rPr>
          <w:lang w:val="en-US"/>
        </w:rPr>
        <w:t>.</w:t>
      </w:r>
      <w:r w:rsidRPr="0036384C">
        <w:rPr>
          <w:lang w:val="en-US"/>
        </w:rPr>
        <w:t>J</w:t>
      </w:r>
      <w:r>
        <w:rPr>
          <w:lang w:val="en-US"/>
        </w:rPr>
        <w:t>.</w:t>
      </w:r>
      <w:r w:rsidRPr="0036384C">
        <w:rPr>
          <w:lang w:val="en-US"/>
        </w:rPr>
        <w:t>, Janssens R</w:t>
      </w:r>
      <w:r>
        <w:rPr>
          <w:lang w:val="en-US"/>
        </w:rPr>
        <w:t>.</w:t>
      </w:r>
      <w:r w:rsidRPr="0036384C">
        <w:rPr>
          <w:lang w:val="en-US"/>
        </w:rPr>
        <w:t>W</w:t>
      </w:r>
      <w:r>
        <w:rPr>
          <w:lang w:val="en-US"/>
        </w:rPr>
        <w:t>.</w:t>
      </w:r>
      <w:r w:rsidRPr="0036384C">
        <w:rPr>
          <w:lang w:val="en-US"/>
        </w:rPr>
        <w:t>, Bernelot Moens H</w:t>
      </w:r>
      <w:r>
        <w:rPr>
          <w:lang w:val="en-US"/>
        </w:rPr>
        <w:t>.</w:t>
      </w:r>
      <w:r w:rsidRPr="0036384C">
        <w:rPr>
          <w:lang w:val="en-US"/>
        </w:rPr>
        <w:t>J</w:t>
      </w:r>
      <w:r>
        <w:rPr>
          <w:lang w:val="en-US"/>
        </w:rPr>
        <w:t>.</w:t>
      </w:r>
      <w:r w:rsidRPr="00074DE5">
        <w:rPr>
          <w:szCs w:val="24"/>
          <w:lang w:val="en-US"/>
        </w:rPr>
        <w:t xml:space="preserve"> </w:t>
      </w:r>
      <w:r w:rsidRPr="0036384C">
        <w:rPr>
          <w:color w:val="000000"/>
          <w:szCs w:val="24"/>
          <w:lang w:val="en-US"/>
        </w:rPr>
        <w:t>Dermatological guidelines for monitoring</w:t>
      </w:r>
      <w:r>
        <w:rPr>
          <w:lang w:val="en-US"/>
        </w:rPr>
        <w:t xml:space="preserve"> </w:t>
      </w:r>
      <w:r w:rsidRPr="0036384C">
        <w:rPr>
          <w:color w:val="000000"/>
          <w:szCs w:val="24"/>
          <w:lang w:val="en-US"/>
        </w:rPr>
        <w:t>methotrexate treatment reduce drug-survival</w:t>
      </w:r>
      <w:r>
        <w:rPr>
          <w:lang w:val="en-US"/>
        </w:rPr>
        <w:t xml:space="preserve"> </w:t>
      </w:r>
      <w:r w:rsidRPr="0036384C">
        <w:rPr>
          <w:lang w:val="en-US"/>
        </w:rPr>
        <w:t>compared to rheumatological guidelines</w:t>
      </w:r>
      <w:r>
        <w:rPr>
          <w:lang w:val="en-US"/>
        </w:rPr>
        <w:t>.</w:t>
      </w:r>
      <w:r w:rsidRPr="0036384C">
        <w:rPr>
          <w:lang w:val="en-US"/>
        </w:rPr>
        <w:t xml:space="preserve"> </w:t>
      </w:r>
      <w:r w:rsidRPr="00E6620A">
        <w:rPr>
          <w:color w:val="000000"/>
          <w:szCs w:val="24"/>
          <w:lang w:val="en-US"/>
        </w:rPr>
        <w:t>PLoS</w:t>
      </w:r>
      <w:r>
        <w:rPr>
          <w:lang w:val="en-US"/>
        </w:rPr>
        <w:t xml:space="preserve"> </w:t>
      </w:r>
      <w:r w:rsidRPr="00E6620A">
        <w:rPr>
          <w:lang w:val="en-US"/>
        </w:rPr>
        <w:t xml:space="preserve">ONE </w:t>
      </w:r>
      <w:r>
        <w:rPr>
          <w:lang w:val="en-US"/>
        </w:rPr>
        <w:t xml:space="preserve">2018; </w:t>
      </w:r>
      <w:r w:rsidRPr="00E6620A">
        <w:rPr>
          <w:lang w:val="en-US"/>
        </w:rPr>
        <w:t>13</w:t>
      </w:r>
      <w:r>
        <w:rPr>
          <w:lang w:val="en-US"/>
        </w:rPr>
        <w:t xml:space="preserve"> </w:t>
      </w:r>
      <w:r w:rsidRPr="00E6620A">
        <w:rPr>
          <w:lang w:val="en-US"/>
        </w:rPr>
        <w:t>(3): e0194401.</w:t>
      </w:r>
    </w:p>
    <w:p w:rsidR="003F054F" w:rsidRPr="00E6620A" w:rsidRDefault="003F054F" w:rsidP="003F054F">
      <w:pPr>
        <w:pStyle w:val="afd"/>
        <w:numPr>
          <w:ilvl w:val="0"/>
          <w:numId w:val="28"/>
        </w:numPr>
        <w:ind w:hanging="720"/>
        <w:rPr>
          <w:szCs w:val="24"/>
          <w:lang w:val="en-US"/>
        </w:rPr>
      </w:pPr>
      <w:r w:rsidRPr="00243F13">
        <w:rPr>
          <w:bCs/>
          <w:lang w:val="en-US"/>
        </w:rPr>
        <w:t>Ahmadzadeh</w:t>
      </w:r>
      <w:r>
        <w:rPr>
          <w:bCs/>
          <w:lang w:val="en-US"/>
        </w:rPr>
        <w:t xml:space="preserve"> A.</w:t>
      </w:r>
      <w:r w:rsidRPr="00243F13">
        <w:rPr>
          <w:bCs/>
          <w:lang w:val="en-US"/>
        </w:rPr>
        <w:t>, Zamani</w:t>
      </w:r>
      <w:r>
        <w:rPr>
          <w:bCs/>
          <w:lang w:val="en-US"/>
        </w:rPr>
        <w:t xml:space="preserve"> N.,</w:t>
      </w:r>
      <w:r w:rsidRPr="00243F13">
        <w:rPr>
          <w:bCs/>
          <w:lang w:val="en-US"/>
        </w:rPr>
        <w:t xml:space="preserve"> Hassanian-Moghaddam H</w:t>
      </w:r>
      <w:r>
        <w:rPr>
          <w:bCs/>
          <w:lang w:val="en-US"/>
        </w:rPr>
        <w:t>. et al.</w:t>
      </w:r>
      <w:r w:rsidRPr="00243F13">
        <w:rPr>
          <w:bCs/>
          <w:lang w:val="en-US"/>
        </w:rPr>
        <w:t xml:space="preserve"> </w:t>
      </w:r>
      <w:r w:rsidRPr="00243F13">
        <w:rPr>
          <w:bCs/>
          <w:color w:val="000000"/>
          <w:szCs w:val="24"/>
          <w:lang w:val="en-US"/>
        </w:rPr>
        <w:t xml:space="preserve">Acute </w:t>
      </w:r>
      <w:r>
        <w:rPr>
          <w:bCs/>
          <w:lang w:val="en-US"/>
        </w:rPr>
        <w:t>v</w:t>
      </w:r>
      <w:r w:rsidRPr="00243F13">
        <w:rPr>
          <w:bCs/>
          <w:color w:val="000000"/>
          <w:szCs w:val="24"/>
          <w:lang w:val="en-US"/>
        </w:rPr>
        <w:t xml:space="preserve">ersus </w:t>
      </w:r>
      <w:r>
        <w:rPr>
          <w:bCs/>
          <w:lang w:val="en-US"/>
        </w:rPr>
        <w:t>c</w:t>
      </w:r>
      <w:r w:rsidRPr="00243F13">
        <w:rPr>
          <w:bCs/>
          <w:color w:val="000000"/>
          <w:szCs w:val="24"/>
          <w:lang w:val="en-US"/>
        </w:rPr>
        <w:t xml:space="preserve">hronic </w:t>
      </w:r>
      <w:r>
        <w:rPr>
          <w:bCs/>
          <w:lang w:val="en-US"/>
        </w:rPr>
        <w:t>m</w:t>
      </w:r>
      <w:r w:rsidRPr="00243F13">
        <w:rPr>
          <w:bCs/>
          <w:color w:val="000000"/>
          <w:szCs w:val="24"/>
          <w:lang w:val="en-US"/>
        </w:rPr>
        <w:t xml:space="preserve">ethotrexate </w:t>
      </w:r>
      <w:r>
        <w:rPr>
          <w:bCs/>
          <w:lang w:val="en-US"/>
        </w:rPr>
        <w:t>p</w:t>
      </w:r>
      <w:r w:rsidRPr="00243F13">
        <w:rPr>
          <w:bCs/>
          <w:color w:val="000000"/>
          <w:szCs w:val="24"/>
          <w:lang w:val="en-US"/>
        </w:rPr>
        <w:t xml:space="preserve">oisoning; </w:t>
      </w:r>
      <w:r>
        <w:rPr>
          <w:bCs/>
          <w:lang w:val="en-US"/>
        </w:rPr>
        <w:t>a</w:t>
      </w:r>
      <w:r w:rsidRPr="00243F13">
        <w:rPr>
          <w:bCs/>
          <w:color w:val="000000"/>
          <w:szCs w:val="24"/>
          <w:lang w:val="en-US"/>
        </w:rPr>
        <w:t xml:space="preserve"> </w:t>
      </w:r>
      <w:r>
        <w:rPr>
          <w:bCs/>
          <w:lang w:val="en-US"/>
        </w:rPr>
        <w:t>c</w:t>
      </w:r>
      <w:r w:rsidRPr="00243F13">
        <w:rPr>
          <w:bCs/>
          <w:color w:val="000000"/>
          <w:szCs w:val="24"/>
          <w:lang w:val="en-US"/>
        </w:rPr>
        <w:t>ross-</w:t>
      </w:r>
      <w:r>
        <w:rPr>
          <w:bCs/>
          <w:lang w:val="en-US"/>
        </w:rPr>
        <w:t>s</w:t>
      </w:r>
      <w:r w:rsidRPr="00243F13">
        <w:rPr>
          <w:bCs/>
          <w:color w:val="000000"/>
          <w:szCs w:val="24"/>
          <w:lang w:val="en-US"/>
        </w:rPr>
        <w:t xml:space="preserve">ectional </w:t>
      </w:r>
      <w:r>
        <w:rPr>
          <w:bCs/>
          <w:lang w:val="en-US"/>
        </w:rPr>
        <w:t>s</w:t>
      </w:r>
      <w:r w:rsidRPr="00243F13">
        <w:rPr>
          <w:bCs/>
          <w:color w:val="000000"/>
          <w:szCs w:val="24"/>
          <w:lang w:val="en-US"/>
        </w:rPr>
        <w:t>tudy</w:t>
      </w:r>
      <w:r>
        <w:rPr>
          <w:bCs/>
          <w:lang w:val="en-US"/>
        </w:rPr>
        <w:t xml:space="preserve">. </w:t>
      </w:r>
      <w:r w:rsidRPr="00E6620A">
        <w:rPr>
          <w:rFonts w:eastAsia="Times New Roman"/>
          <w:szCs w:val="24"/>
          <w:lang w:val="en-US" w:eastAsia="ru-RU"/>
        </w:rPr>
        <w:t xml:space="preserve">BMC Pharmacol Toxicol </w:t>
      </w:r>
      <w:r w:rsidRPr="00E6620A">
        <w:rPr>
          <w:rFonts w:eastAsia="Times New Roman"/>
          <w:lang w:val="en-US" w:eastAsia="ru-RU"/>
        </w:rPr>
        <w:t>2019</w:t>
      </w:r>
      <w:r>
        <w:rPr>
          <w:rFonts w:eastAsia="Times New Roman"/>
          <w:lang w:val="en-US" w:eastAsia="ru-RU"/>
        </w:rPr>
        <w:t>;</w:t>
      </w:r>
      <w:r w:rsidRPr="00E6620A">
        <w:rPr>
          <w:rFonts w:eastAsia="Times New Roman"/>
          <w:szCs w:val="24"/>
          <w:lang w:val="en-US" w:eastAsia="ru-RU"/>
        </w:rPr>
        <w:t xml:space="preserve"> 20 (1)</w:t>
      </w:r>
      <w:r>
        <w:rPr>
          <w:rFonts w:eastAsia="Times New Roman"/>
          <w:szCs w:val="24"/>
          <w:lang w:val="en-US" w:eastAsia="ru-RU"/>
        </w:rPr>
        <w:t>:</w:t>
      </w:r>
      <w:r w:rsidRPr="00E6620A">
        <w:rPr>
          <w:rFonts w:eastAsia="Times New Roman"/>
          <w:szCs w:val="24"/>
          <w:lang w:val="en-US" w:eastAsia="ru-RU"/>
        </w:rPr>
        <w:t xml:space="preserve"> 39</w:t>
      </w:r>
      <w:r>
        <w:rPr>
          <w:rFonts w:eastAsia="Times New Roman"/>
          <w:szCs w:val="24"/>
          <w:lang w:val="en-US" w:eastAsia="ru-RU"/>
        </w:rPr>
        <w:t>.</w:t>
      </w:r>
    </w:p>
    <w:p w:rsidR="003F054F" w:rsidRPr="00E6620A" w:rsidRDefault="003F054F" w:rsidP="003F054F">
      <w:pPr>
        <w:pStyle w:val="afd"/>
        <w:numPr>
          <w:ilvl w:val="0"/>
          <w:numId w:val="28"/>
        </w:numPr>
        <w:ind w:hanging="720"/>
        <w:rPr>
          <w:szCs w:val="24"/>
          <w:lang w:val="en-US"/>
        </w:rPr>
      </w:pPr>
      <w:r>
        <w:rPr>
          <w:szCs w:val="24"/>
          <w:lang w:val="en-US"/>
        </w:rPr>
        <w:t xml:space="preserve">Olsen E.A. </w:t>
      </w:r>
      <w:r w:rsidRPr="0000755E">
        <w:rPr>
          <w:szCs w:val="24"/>
          <w:lang w:val="en-US"/>
        </w:rPr>
        <w:t>Interferon in the treatment of cutaneous T-cell lymphoma</w:t>
      </w:r>
      <w:r>
        <w:rPr>
          <w:szCs w:val="24"/>
          <w:lang w:val="en-US"/>
        </w:rPr>
        <w:t xml:space="preserve">. </w:t>
      </w:r>
      <w:r w:rsidRPr="00244A83">
        <w:rPr>
          <w:iCs/>
          <w:szCs w:val="24"/>
          <w:lang w:val="en-US"/>
        </w:rPr>
        <w:t>Dermatol</w:t>
      </w:r>
      <w:r>
        <w:rPr>
          <w:iCs/>
          <w:szCs w:val="24"/>
          <w:lang w:val="en-US"/>
        </w:rPr>
        <w:t xml:space="preserve"> </w:t>
      </w:r>
      <w:r w:rsidRPr="00244A83">
        <w:rPr>
          <w:iCs/>
          <w:szCs w:val="24"/>
          <w:lang w:val="en-US"/>
        </w:rPr>
        <w:t>Ther</w:t>
      </w:r>
      <w:r>
        <w:rPr>
          <w:iCs/>
          <w:szCs w:val="24"/>
          <w:lang w:val="en-US"/>
        </w:rPr>
        <w:t xml:space="preserve"> 2003;</w:t>
      </w:r>
      <w:r w:rsidRPr="00244A83">
        <w:rPr>
          <w:iCs/>
          <w:szCs w:val="24"/>
          <w:lang w:val="en-US"/>
        </w:rPr>
        <w:t xml:space="preserve"> 16</w:t>
      </w:r>
      <w:r>
        <w:rPr>
          <w:iCs/>
          <w:szCs w:val="24"/>
          <w:lang w:val="en-US"/>
        </w:rPr>
        <w:t xml:space="preserve">: </w:t>
      </w:r>
      <w:r w:rsidRPr="00244A83">
        <w:rPr>
          <w:iCs/>
          <w:szCs w:val="24"/>
          <w:lang w:val="en-US"/>
        </w:rPr>
        <w:t>311–321</w:t>
      </w:r>
      <w:r>
        <w:rPr>
          <w:iCs/>
          <w:szCs w:val="24"/>
          <w:lang w:val="en-US"/>
        </w:rPr>
        <w:t>.</w:t>
      </w:r>
    </w:p>
    <w:p w:rsidR="003F054F" w:rsidRPr="00E6620A" w:rsidRDefault="003F054F" w:rsidP="003F054F">
      <w:pPr>
        <w:pStyle w:val="afd"/>
        <w:numPr>
          <w:ilvl w:val="0"/>
          <w:numId w:val="28"/>
        </w:numPr>
        <w:ind w:hanging="720"/>
        <w:rPr>
          <w:szCs w:val="24"/>
          <w:lang w:val="en-US"/>
        </w:rPr>
      </w:pPr>
      <w:r w:rsidRPr="001874C8">
        <w:rPr>
          <w:szCs w:val="24"/>
          <w:lang w:val="en-US"/>
        </w:rPr>
        <w:t>Kim Y</w:t>
      </w:r>
      <w:r>
        <w:rPr>
          <w:szCs w:val="24"/>
          <w:lang w:val="en-US"/>
        </w:rPr>
        <w:t>.</w:t>
      </w:r>
      <w:r w:rsidRPr="001874C8">
        <w:rPr>
          <w:szCs w:val="24"/>
          <w:lang w:val="en-US"/>
        </w:rPr>
        <w:t>H</w:t>
      </w:r>
      <w:r>
        <w:rPr>
          <w:szCs w:val="24"/>
          <w:lang w:val="en-US"/>
        </w:rPr>
        <w:t>.</w:t>
      </w:r>
      <w:r w:rsidRPr="001874C8">
        <w:rPr>
          <w:szCs w:val="24"/>
          <w:lang w:val="en-US"/>
        </w:rPr>
        <w:t>, Tavallaee M</w:t>
      </w:r>
      <w:r>
        <w:rPr>
          <w:szCs w:val="24"/>
          <w:lang w:val="en-US"/>
        </w:rPr>
        <w:t>.</w:t>
      </w:r>
      <w:r w:rsidRPr="001874C8">
        <w:rPr>
          <w:szCs w:val="24"/>
          <w:lang w:val="en-US"/>
        </w:rPr>
        <w:t>, Sundram U</w:t>
      </w:r>
      <w:r>
        <w:rPr>
          <w:szCs w:val="24"/>
          <w:lang w:val="en-US"/>
        </w:rPr>
        <w:t>.</w:t>
      </w:r>
      <w:r w:rsidRPr="001874C8">
        <w:rPr>
          <w:szCs w:val="24"/>
          <w:lang w:val="en-US"/>
        </w:rPr>
        <w:t xml:space="preserve"> et al. Phase II </w:t>
      </w:r>
      <w:r>
        <w:rPr>
          <w:szCs w:val="24"/>
          <w:lang w:val="en-US"/>
        </w:rPr>
        <w:t>i</w:t>
      </w:r>
      <w:r w:rsidRPr="001874C8">
        <w:rPr>
          <w:szCs w:val="24"/>
          <w:lang w:val="en-US"/>
        </w:rPr>
        <w:t>nvestigator-</w:t>
      </w:r>
      <w:r>
        <w:rPr>
          <w:szCs w:val="24"/>
          <w:lang w:val="en-US"/>
        </w:rPr>
        <w:t>i</w:t>
      </w:r>
      <w:r w:rsidRPr="001874C8">
        <w:rPr>
          <w:szCs w:val="24"/>
          <w:lang w:val="en-US"/>
        </w:rPr>
        <w:t xml:space="preserve">nitiated </w:t>
      </w:r>
      <w:r>
        <w:rPr>
          <w:szCs w:val="24"/>
          <w:lang w:val="en-US"/>
        </w:rPr>
        <w:t>s</w:t>
      </w:r>
      <w:r w:rsidRPr="001874C8">
        <w:rPr>
          <w:szCs w:val="24"/>
          <w:lang w:val="en-US"/>
        </w:rPr>
        <w:t xml:space="preserve">tudy of </w:t>
      </w:r>
      <w:r>
        <w:rPr>
          <w:szCs w:val="24"/>
          <w:lang w:val="en-US"/>
        </w:rPr>
        <w:t>b</w:t>
      </w:r>
      <w:r w:rsidRPr="001874C8">
        <w:rPr>
          <w:szCs w:val="24"/>
          <w:lang w:val="en-US"/>
        </w:rPr>
        <w:t xml:space="preserve">rentuximab </w:t>
      </w:r>
      <w:r>
        <w:rPr>
          <w:szCs w:val="24"/>
          <w:lang w:val="en-US"/>
        </w:rPr>
        <w:t>v</w:t>
      </w:r>
      <w:r w:rsidRPr="001874C8">
        <w:rPr>
          <w:szCs w:val="24"/>
          <w:lang w:val="en-US"/>
        </w:rPr>
        <w:t xml:space="preserve">edotin in </w:t>
      </w:r>
      <w:r>
        <w:rPr>
          <w:szCs w:val="24"/>
          <w:lang w:val="en-US"/>
        </w:rPr>
        <w:t>m</w:t>
      </w:r>
      <w:r w:rsidRPr="001874C8">
        <w:rPr>
          <w:szCs w:val="24"/>
          <w:lang w:val="en-US"/>
        </w:rPr>
        <w:t xml:space="preserve">ycosis </w:t>
      </w:r>
      <w:r>
        <w:rPr>
          <w:szCs w:val="24"/>
          <w:lang w:val="en-US"/>
        </w:rPr>
        <w:t>f</w:t>
      </w:r>
      <w:r w:rsidRPr="001874C8">
        <w:rPr>
          <w:szCs w:val="24"/>
          <w:lang w:val="en-US"/>
        </w:rPr>
        <w:t xml:space="preserve">ungoides and Sézary </w:t>
      </w:r>
      <w:r>
        <w:rPr>
          <w:szCs w:val="24"/>
          <w:lang w:val="en-US"/>
        </w:rPr>
        <w:t>s</w:t>
      </w:r>
      <w:r w:rsidRPr="001874C8">
        <w:rPr>
          <w:szCs w:val="24"/>
          <w:lang w:val="en-US"/>
        </w:rPr>
        <w:t xml:space="preserve">yndrome </w:t>
      </w:r>
      <w:r>
        <w:rPr>
          <w:szCs w:val="24"/>
          <w:lang w:val="en-US"/>
        </w:rPr>
        <w:t>w</w:t>
      </w:r>
      <w:r w:rsidRPr="001874C8">
        <w:rPr>
          <w:szCs w:val="24"/>
          <w:lang w:val="en-US"/>
        </w:rPr>
        <w:t xml:space="preserve">ith </w:t>
      </w:r>
      <w:r>
        <w:rPr>
          <w:szCs w:val="24"/>
          <w:lang w:val="en-US"/>
        </w:rPr>
        <w:t>v</w:t>
      </w:r>
      <w:r w:rsidRPr="001874C8">
        <w:rPr>
          <w:szCs w:val="24"/>
          <w:lang w:val="en-US"/>
        </w:rPr>
        <w:t xml:space="preserve">ariable CD30 </w:t>
      </w:r>
      <w:r>
        <w:rPr>
          <w:szCs w:val="24"/>
          <w:lang w:val="en-US"/>
        </w:rPr>
        <w:t>e</w:t>
      </w:r>
      <w:r w:rsidRPr="001874C8">
        <w:rPr>
          <w:szCs w:val="24"/>
          <w:lang w:val="en-US"/>
        </w:rPr>
        <w:t xml:space="preserve">xpression </w:t>
      </w:r>
      <w:r>
        <w:rPr>
          <w:szCs w:val="24"/>
          <w:lang w:val="en-US"/>
        </w:rPr>
        <w:t>l</w:t>
      </w:r>
      <w:r w:rsidRPr="001874C8">
        <w:rPr>
          <w:szCs w:val="24"/>
          <w:lang w:val="en-US"/>
        </w:rPr>
        <w:t xml:space="preserve">evel: </w:t>
      </w:r>
      <w:r>
        <w:rPr>
          <w:szCs w:val="24"/>
          <w:lang w:val="en-US"/>
        </w:rPr>
        <w:t>a</w:t>
      </w:r>
      <w:r w:rsidRPr="001874C8">
        <w:rPr>
          <w:szCs w:val="24"/>
          <w:lang w:val="en-US"/>
        </w:rPr>
        <w:t xml:space="preserve"> </w:t>
      </w:r>
      <w:r>
        <w:rPr>
          <w:szCs w:val="24"/>
          <w:lang w:val="en-US"/>
        </w:rPr>
        <w:t>m</w:t>
      </w:r>
      <w:r w:rsidRPr="001874C8">
        <w:rPr>
          <w:szCs w:val="24"/>
          <w:lang w:val="en-US"/>
        </w:rPr>
        <w:t>ulti-</w:t>
      </w:r>
      <w:r>
        <w:rPr>
          <w:szCs w:val="24"/>
          <w:lang w:val="en-US"/>
        </w:rPr>
        <w:t>i</w:t>
      </w:r>
      <w:r w:rsidRPr="001874C8">
        <w:rPr>
          <w:szCs w:val="24"/>
          <w:lang w:val="en-US"/>
        </w:rPr>
        <w:t xml:space="preserve">nstitution </w:t>
      </w:r>
      <w:r>
        <w:rPr>
          <w:szCs w:val="24"/>
          <w:lang w:val="en-US"/>
        </w:rPr>
        <w:t>c</w:t>
      </w:r>
      <w:r w:rsidRPr="001874C8">
        <w:rPr>
          <w:szCs w:val="24"/>
          <w:lang w:val="en-US"/>
        </w:rPr>
        <w:t xml:space="preserve">ollaborative </w:t>
      </w:r>
      <w:r>
        <w:rPr>
          <w:szCs w:val="24"/>
          <w:lang w:val="en-US"/>
        </w:rPr>
        <w:t>p</w:t>
      </w:r>
      <w:r w:rsidRPr="001874C8">
        <w:rPr>
          <w:szCs w:val="24"/>
          <w:lang w:val="en-US"/>
        </w:rPr>
        <w:t>roject. J Clin Oncol. 2015;</w:t>
      </w:r>
      <w:r>
        <w:rPr>
          <w:szCs w:val="24"/>
          <w:lang w:val="en-US"/>
        </w:rPr>
        <w:t xml:space="preserve"> </w:t>
      </w:r>
      <w:r w:rsidRPr="001874C8">
        <w:rPr>
          <w:szCs w:val="24"/>
          <w:lang w:val="en-US"/>
        </w:rPr>
        <w:t>33</w:t>
      </w:r>
      <w:r>
        <w:rPr>
          <w:szCs w:val="24"/>
          <w:lang w:val="en-US"/>
        </w:rPr>
        <w:t xml:space="preserve"> </w:t>
      </w:r>
      <w:r w:rsidRPr="001874C8">
        <w:rPr>
          <w:szCs w:val="24"/>
          <w:lang w:val="en-US"/>
        </w:rPr>
        <w:t>(32):</w:t>
      </w:r>
      <w:r>
        <w:rPr>
          <w:szCs w:val="24"/>
          <w:lang w:val="en-US"/>
        </w:rPr>
        <w:t xml:space="preserve"> </w:t>
      </w:r>
      <w:r w:rsidRPr="001874C8">
        <w:rPr>
          <w:szCs w:val="24"/>
          <w:lang w:val="en-US"/>
        </w:rPr>
        <w:t>3750</w:t>
      </w:r>
      <w:r w:rsidRPr="008E14E1">
        <w:rPr>
          <w:szCs w:val="24"/>
          <w:lang w:val="en-US"/>
        </w:rPr>
        <w:t>–</w:t>
      </w:r>
      <w:r>
        <w:rPr>
          <w:szCs w:val="24"/>
          <w:lang w:val="en-US"/>
        </w:rPr>
        <w:t>375</w:t>
      </w:r>
      <w:r w:rsidRPr="001874C8">
        <w:rPr>
          <w:szCs w:val="24"/>
          <w:lang w:val="en-US"/>
        </w:rPr>
        <w:t>8.</w:t>
      </w:r>
    </w:p>
    <w:p w:rsidR="003F054F" w:rsidRPr="006525D1" w:rsidRDefault="003F054F" w:rsidP="003F054F">
      <w:pPr>
        <w:pStyle w:val="afd"/>
        <w:numPr>
          <w:ilvl w:val="0"/>
          <w:numId w:val="28"/>
        </w:numPr>
        <w:ind w:hanging="720"/>
        <w:rPr>
          <w:szCs w:val="24"/>
          <w:lang w:val="en-US"/>
        </w:rPr>
      </w:pPr>
      <w:r w:rsidRPr="00B025A5">
        <w:rPr>
          <w:szCs w:val="24"/>
          <w:lang w:val="en-US"/>
        </w:rPr>
        <w:t>Talpur R</w:t>
      </w:r>
      <w:r>
        <w:rPr>
          <w:szCs w:val="24"/>
          <w:lang w:val="en-US"/>
        </w:rPr>
        <w:t>.</w:t>
      </w:r>
      <w:r w:rsidRPr="00B025A5">
        <w:rPr>
          <w:szCs w:val="24"/>
          <w:lang w:val="en-US"/>
        </w:rPr>
        <w:t>, Singh L</w:t>
      </w:r>
      <w:r>
        <w:rPr>
          <w:szCs w:val="24"/>
          <w:lang w:val="en-US"/>
        </w:rPr>
        <w:t>.</w:t>
      </w:r>
      <w:r w:rsidRPr="00B025A5">
        <w:rPr>
          <w:szCs w:val="24"/>
          <w:lang w:val="en-US"/>
        </w:rPr>
        <w:t>, Daulat S</w:t>
      </w:r>
      <w:r>
        <w:rPr>
          <w:szCs w:val="24"/>
          <w:lang w:val="en-US"/>
        </w:rPr>
        <w:t xml:space="preserve">. </w:t>
      </w:r>
      <w:r w:rsidRPr="00B025A5">
        <w:rPr>
          <w:szCs w:val="24"/>
          <w:lang w:val="en-US"/>
        </w:rPr>
        <w:t>et al.</w:t>
      </w:r>
      <w:r>
        <w:rPr>
          <w:szCs w:val="24"/>
          <w:lang w:val="en-US"/>
        </w:rPr>
        <w:t xml:space="preserve"> </w:t>
      </w:r>
      <w:r w:rsidRPr="00B025A5">
        <w:rPr>
          <w:szCs w:val="24"/>
          <w:lang w:val="en-US"/>
        </w:rPr>
        <w:t>Long-term outcomes of 1,263 patients with mycosis fungoidesand Sézary syndrome from 1982 to 2009. Clin Cancer Res.</w:t>
      </w:r>
      <w:r>
        <w:rPr>
          <w:szCs w:val="24"/>
          <w:lang w:val="en-US"/>
        </w:rPr>
        <w:t xml:space="preserve"> </w:t>
      </w:r>
      <w:r w:rsidRPr="00B025A5">
        <w:rPr>
          <w:szCs w:val="24"/>
          <w:lang w:val="en-US"/>
        </w:rPr>
        <w:t>2012;</w:t>
      </w:r>
      <w:r>
        <w:rPr>
          <w:szCs w:val="24"/>
          <w:lang w:val="en-US"/>
        </w:rPr>
        <w:t xml:space="preserve"> </w:t>
      </w:r>
      <w:r w:rsidRPr="00B025A5">
        <w:rPr>
          <w:szCs w:val="24"/>
          <w:lang w:val="en-US"/>
        </w:rPr>
        <w:t>18</w:t>
      </w:r>
      <w:r>
        <w:rPr>
          <w:szCs w:val="24"/>
          <w:lang w:val="en-US"/>
        </w:rPr>
        <w:t xml:space="preserve"> (</w:t>
      </w:r>
      <w:r w:rsidRPr="00B025A5">
        <w:rPr>
          <w:szCs w:val="24"/>
          <w:lang w:val="en-US"/>
        </w:rPr>
        <w:t>18):</w:t>
      </w:r>
      <w:r>
        <w:rPr>
          <w:szCs w:val="24"/>
          <w:lang w:val="en-US"/>
        </w:rPr>
        <w:t xml:space="preserve"> </w:t>
      </w:r>
      <w:r w:rsidRPr="00B025A5">
        <w:rPr>
          <w:szCs w:val="24"/>
          <w:lang w:val="en-US"/>
        </w:rPr>
        <w:t>5051</w:t>
      </w:r>
      <w:r w:rsidRPr="00095341">
        <w:rPr>
          <w:b/>
          <w:lang w:val="en-US"/>
        </w:rPr>
        <w:t>–</w:t>
      </w:r>
      <w:r>
        <w:rPr>
          <w:szCs w:val="24"/>
          <w:lang w:val="en-US"/>
        </w:rPr>
        <w:t>50</w:t>
      </w:r>
      <w:r w:rsidRPr="00B025A5">
        <w:rPr>
          <w:szCs w:val="24"/>
          <w:lang w:val="en-US"/>
        </w:rPr>
        <w:t>60.</w:t>
      </w:r>
    </w:p>
    <w:p w:rsidR="003F054F" w:rsidRPr="001651D4" w:rsidRDefault="003F054F" w:rsidP="003F054F">
      <w:pPr>
        <w:pStyle w:val="afd"/>
        <w:numPr>
          <w:ilvl w:val="0"/>
          <w:numId w:val="28"/>
        </w:numPr>
        <w:ind w:hanging="720"/>
        <w:rPr>
          <w:szCs w:val="24"/>
          <w:lang w:val="en-US"/>
        </w:rPr>
      </w:pPr>
      <w:r w:rsidRPr="00F63A3F">
        <w:rPr>
          <w:rFonts w:eastAsia="Times New Roman"/>
          <w:szCs w:val="24"/>
          <w:lang w:val="en-US" w:eastAsia="ru-RU"/>
        </w:rPr>
        <w:t xml:space="preserve">Gobbi P.G., Broglia C., Carnevale Maffe G. et al. Lymphomatous superficial lymph nodes: limitations of physical examination for accurate staging and response assessment. </w:t>
      </w:r>
      <w:r w:rsidRPr="00F63A3F">
        <w:rPr>
          <w:rFonts w:eastAsia="Times New Roman"/>
          <w:iCs/>
          <w:szCs w:val="24"/>
          <w:lang w:val="en-US" w:eastAsia="ru-RU"/>
        </w:rPr>
        <w:t>Haematologica</w:t>
      </w:r>
      <w:r w:rsidRPr="00F63A3F">
        <w:rPr>
          <w:rFonts w:eastAsia="Times New Roman"/>
          <w:szCs w:val="24"/>
          <w:lang w:val="en-US" w:eastAsia="ru-RU"/>
        </w:rPr>
        <w:t>. 2002; 87 (11): 1151</w:t>
      </w:r>
      <w:r w:rsidRPr="00F63A3F">
        <w:rPr>
          <w:rFonts w:eastAsia="Times New Roman"/>
          <w:szCs w:val="24"/>
          <w:lang w:val="en-US"/>
        </w:rPr>
        <w:t>–</w:t>
      </w:r>
      <w:r w:rsidRPr="00F63A3F">
        <w:rPr>
          <w:rFonts w:eastAsia="Times New Roman"/>
          <w:szCs w:val="24"/>
          <w:lang w:val="en-US" w:eastAsia="ru-RU"/>
        </w:rPr>
        <w:t>1156.</w:t>
      </w:r>
    </w:p>
    <w:p w:rsidR="003F054F" w:rsidRPr="001651D4" w:rsidRDefault="003F054F" w:rsidP="003F054F">
      <w:pPr>
        <w:pStyle w:val="afd"/>
        <w:numPr>
          <w:ilvl w:val="0"/>
          <w:numId w:val="28"/>
        </w:numPr>
        <w:ind w:hanging="720"/>
        <w:rPr>
          <w:szCs w:val="24"/>
          <w:lang w:val="en-US"/>
        </w:rPr>
      </w:pPr>
      <w:r w:rsidRPr="003A14CA">
        <w:rPr>
          <w:rFonts w:eastAsia="Times New Roman"/>
          <w:szCs w:val="24"/>
          <w:lang w:val="en-US" w:eastAsia="ru-RU"/>
        </w:rPr>
        <w:lastRenderedPageBreak/>
        <w:t>Tsai E</w:t>
      </w:r>
      <w:r>
        <w:rPr>
          <w:rFonts w:eastAsia="Times New Roman"/>
          <w:szCs w:val="24"/>
          <w:lang w:val="en-US" w:eastAsia="ru-RU"/>
        </w:rPr>
        <w:t>.</w:t>
      </w:r>
      <w:r w:rsidRPr="003A14CA">
        <w:rPr>
          <w:rFonts w:eastAsia="Times New Roman"/>
          <w:szCs w:val="24"/>
          <w:lang w:val="en-US" w:eastAsia="ru-RU"/>
        </w:rPr>
        <w:t>Y</w:t>
      </w:r>
      <w:r>
        <w:rPr>
          <w:rFonts w:eastAsia="Times New Roman"/>
          <w:szCs w:val="24"/>
          <w:lang w:val="en-US" w:eastAsia="ru-RU"/>
        </w:rPr>
        <w:t>.</w:t>
      </w:r>
      <w:r w:rsidRPr="003A14CA">
        <w:rPr>
          <w:rFonts w:eastAsia="Times New Roman"/>
          <w:szCs w:val="24"/>
          <w:lang w:val="en-US" w:eastAsia="ru-RU"/>
        </w:rPr>
        <w:t>, Taur A</w:t>
      </w:r>
      <w:r>
        <w:rPr>
          <w:rFonts w:eastAsia="Times New Roman"/>
          <w:szCs w:val="24"/>
          <w:lang w:val="en-US" w:eastAsia="ru-RU"/>
        </w:rPr>
        <w:t>.</w:t>
      </w:r>
      <w:r w:rsidRPr="003A14CA">
        <w:rPr>
          <w:rFonts w:eastAsia="Times New Roman"/>
          <w:szCs w:val="24"/>
          <w:lang w:val="en-US" w:eastAsia="ru-RU"/>
        </w:rPr>
        <w:t>, Espinosa L</w:t>
      </w:r>
      <w:r>
        <w:rPr>
          <w:rFonts w:eastAsia="Times New Roman"/>
          <w:szCs w:val="24"/>
          <w:lang w:val="en-US" w:eastAsia="ru-RU"/>
        </w:rPr>
        <w:t>.</w:t>
      </w:r>
      <w:r w:rsidRPr="003A14CA">
        <w:rPr>
          <w:rFonts w:eastAsia="Times New Roman"/>
          <w:szCs w:val="24"/>
          <w:lang w:val="en-US" w:eastAsia="ru-RU"/>
        </w:rPr>
        <w:t xml:space="preserve"> et al. Staging accuracy in mycosis fungoides and sezary syndrome using integrated positron emission tomography and computed tomography. </w:t>
      </w:r>
      <w:r w:rsidRPr="003A14CA">
        <w:rPr>
          <w:rFonts w:eastAsia="Times New Roman"/>
          <w:iCs/>
          <w:szCs w:val="24"/>
          <w:lang w:val="en-US" w:eastAsia="ru-RU"/>
        </w:rPr>
        <w:t>Arch Dermatol.</w:t>
      </w:r>
      <w:r w:rsidRPr="00095341">
        <w:rPr>
          <w:lang w:val="en-US"/>
        </w:rPr>
        <w:t xml:space="preserve"> </w:t>
      </w:r>
      <w:r w:rsidRPr="003A14CA">
        <w:rPr>
          <w:rFonts w:eastAsia="Times New Roman"/>
          <w:szCs w:val="24"/>
          <w:lang w:val="en-US" w:eastAsia="ru-RU"/>
        </w:rPr>
        <w:t>2006;</w:t>
      </w:r>
      <w:r>
        <w:rPr>
          <w:rFonts w:eastAsia="Times New Roman"/>
          <w:szCs w:val="24"/>
          <w:lang w:val="en-US" w:eastAsia="ru-RU"/>
        </w:rPr>
        <w:t xml:space="preserve"> </w:t>
      </w:r>
      <w:r w:rsidRPr="003A14CA">
        <w:rPr>
          <w:rFonts w:eastAsia="Times New Roman"/>
          <w:szCs w:val="24"/>
          <w:lang w:val="en-US" w:eastAsia="ru-RU"/>
        </w:rPr>
        <w:t>142</w:t>
      </w:r>
      <w:r>
        <w:rPr>
          <w:rFonts w:eastAsia="Times New Roman"/>
          <w:szCs w:val="24"/>
          <w:lang w:val="en-US" w:eastAsia="ru-RU"/>
        </w:rPr>
        <w:t xml:space="preserve"> </w:t>
      </w:r>
      <w:r w:rsidRPr="003A14CA">
        <w:rPr>
          <w:rFonts w:eastAsia="Times New Roman"/>
          <w:szCs w:val="24"/>
          <w:lang w:val="en-US" w:eastAsia="ru-RU"/>
        </w:rPr>
        <w:t>(5):</w:t>
      </w:r>
      <w:r>
        <w:rPr>
          <w:rFonts w:eastAsia="Times New Roman"/>
          <w:szCs w:val="24"/>
          <w:lang w:val="en-US" w:eastAsia="ru-RU"/>
        </w:rPr>
        <w:t xml:space="preserve"> </w:t>
      </w:r>
      <w:r w:rsidRPr="003A14CA">
        <w:rPr>
          <w:rFonts w:eastAsia="Times New Roman"/>
          <w:szCs w:val="24"/>
          <w:lang w:val="en-US" w:eastAsia="ru-RU"/>
        </w:rPr>
        <w:t>577</w:t>
      </w:r>
      <w:r w:rsidRPr="00F63A3F">
        <w:rPr>
          <w:rFonts w:eastAsia="Times New Roman"/>
          <w:szCs w:val="24"/>
          <w:lang w:val="en-US"/>
        </w:rPr>
        <w:t>–</w:t>
      </w:r>
      <w:r w:rsidRPr="003A14CA">
        <w:rPr>
          <w:rFonts w:eastAsia="Times New Roman"/>
          <w:szCs w:val="24"/>
          <w:lang w:val="en-US" w:eastAsia="ru-RU"/>
        </w:rPr>
        <w:t>584.</w:t>
      </w:r>
    </w:p>
    <w:p w:rsidR="003F054F" w:rsidRPr="001651D4" w:rsidRDefault="003F054F" w:rsidP="003F054F">
      <w:pPr>
        <w:pStyle w:val="afd"/>
        <w:numPr>
          <w:ilvl w:val="0"/>
          <w:numId w:val="28"/>
        </w:numPr>
        <w:ind w:hanging="720"/>
        <w:rPr>
          <w:szCs w:val="24"/>
          <w:lang w:val="en-US"/>
        </w:rPr>
      </w:pPr>
      <w:r w:rsidRPr="00C164E5">
        <w:rPr>
          <w:bCs/>
          <w:szCs w:val="24"/>
          <w:lang w:val="en-US"/>
        </w:rPr>
        <w:t>Toro J.R.,  Stoll H.L.</w:t>
      </w:r>
      <w:r>
        <w:rPr>
          <w:bCs/>
          <w:szCs w:val="24"/>
          <w:lang w:val="en-US"/>
        </w:rPr>
        <w:t xml:space="preserve"> </w:t>
      </w:r>
      <w:r w:rsidRPr="00C164E5">
        <w:rPr>
          <w:bCs/>
          <w:szCs w:val="24"/>
          <w:lang w:val="en-US"/>
        </w:rPr>
        <w:t xml:space="preserve">Jr,  Stomper P.C.,  Oseroff A.R. Prognostic factors and evaluation of mycosis fungoides and Sézary syndrome. </w:t>
      </w:r>
      <w:r w:rsidRPr="001651D4">
        <w:rPr>
          <w:rFonts w:eastAsia="Times New Roman"/>
          <w:szCs w:val="24"/>
          <w:lang w:val="en-US" w:eastAsia="ru-RU"/>
        </w:rPr>
        <w:t>J Am Acad Dermatol 1997</w:t>
      </w:r>
      <w:r w:rsidRPr="00C164E5">
        <w:rPr>
          <w:rFonts w:eastAsia="Times New Roman"/>
          <w:szCs w:val="24"/>
          <w:lang w:val="en-US" w:eastAsia="ru-RU"/>
        </w:rPr>
        <w:t xml:space="preserve">; </w:t>
      </w:r>
      <w:r w:rsidRPr="001651D4">
        <w:rPr>
          <w:rFonts w:eastAsia="Times New Roman"/>
          <w:szCs w:val="24"/>
          <w:lang w:val="en-US" w:eastAsia="ru-RU"/>
        </w:rPr>
        <w:t>37 (1)</w:t>
      </w:r>
      <w:r w:rsidRPr="00C164E5">
        <w:rPr>
          <w:rFonts w:eastAsia="Times New Roman"/>
          <w:szCs w:val="24"/>
          <w:lang w:val="en-US" w:eastAsia="ru-RU"/>
        </w:rPr>
        <w:t>:</w:t>
      </w:r>
      <w:r w:rsidRPr="001651D4">
        <w:rPr>
          <w:rFonts w:eastAsia="Times New Roman"/>
          <w:szCs w:val="24"/>
          <w:lang w:val="en-US" w:eastAsia="ru-RU"/>
        </w:rPr>
        <w:t xml:space="preserve"> 58</w:t>
      </w:r>
      <w:r w:rsidRPr="00F63A3F">
        <w:rPr>
          <w:rFonts w:eastAsia="Times New Roman"/>
          <w:szCs w:val="24"/>
          <w:lang w:val="en-US"/>
        </w:rPr>
        <w:t>–</w:t>
      </w:r>
      <w:r w:rsidRPr="001651D4">
        <w:rPr>
          <w:rFonts w:eastAsia="Times New Roman"/>
          <w:szCs w:val="24"/>
          <w:lang w:val="en-US" w:eastAsia="ru-RU"/>
        </w:rPr>
        <w:t>67</w:t>
      </w:r>
      <w:r w:rsidRPr="00C164E5">
        <w:rPr>
          <w:rFonts w:eastAsia="Times New Roman"/>
          <w:szCs w:val="24"/>
          <w:lang w:val="en-US" w:eastAsia="ru-RU"/>
        </w:rPr>
        <w:t>.</w:t>
      </w:r>
    </w:p>
    <w:p w:rsidR="003F054F" w:rsidRPr="003D5FFC" w:rsidRDefault="003F054F" w:rsidP="003F054F">
      <w:pPr>
        <w:pStyle w:val="afd"/>
        <w:numPr>
          <w:ilvl w:val="0"/>
          <w:numId w:val="28"/>
        </w:numPr>
        <w:ind w:hanging="720"/>
        <w:rPr>
          <w:szCs w:val="24"/>
          <w:lang w:val="en-US"/>
        </w:rPr>
      </w:pPr>
      <w:r w:rsidRPr="00E91825">
        <w:rPr>
          <w:szCs w:val="24"/>
          <w:lang w:val="en-US"/>
        </w:rPr>
        <w:t>Trautinger F., Eder J., Assaf C</w:t>
      </w:r>
      <w:r w:rsidRPr="003F054F">
        <w:rPr>
          <w:szCs w:val="24"/>
          <w:lang w:val="en-US"/>
        </w:rPr>
        <w:t>.</w:t>
      </w:r>
      <w:r w:rsidRPr="00E91825">
        <w:rPr>
          <w:szCs w:val="24"/>
          <w:lang w:val="en-US"/>
        </w:rPr>
        <w:t xml:space="preserve"> et al. European Organisation for Research and Treatment of Cancer consensus recommendations for the treatment of mycosis fungoides/Sezary syndrome - Update 2017. </w:t>
      </w:r>
      <w:r w:rsidRPr="00E91825">
        <w:rPr>
          <w:iCs/>
          <w:szCs w:val="24"/>
          <w:lang w:val="en-US"/>
        </w:rPr>
        <w:t>Eur J Cancer</w:t>
      </w:r>
      <w:r w:rsidRPr="00E91825">
        <w:rPr>
          <w:szCs w:val="24"/>
          <w:lang w:val="en-US"/>
        </w:rPr>
        <w:t xml:space="preserve">. 2017; </w:t>
      </w:r>
      <w:r w:rsidRPr="00B04D67">
        <w:rPr>
          <w:szCs w:val="24"/>
          <w:lang w:val="en-US"/>
        </w:rPr>
        <w:t>77</w:t>
      </w:r>
      <w:r w:rsidRPr="00E91825">
        <w:rPr>
          <w:szCs w:val="24"/>
          <w:lang w:val="en-US"/>
        </w:rPr>
        <w:t>:</w:t>
      </w:r>
      <w:r w:rsidRPr="00B04D67">
        <w:rPr>
          <w:szCs w:val="24"/>
          <w:lang w:val="en-US"/>
        </w:rPr>
        <w:t xml:space="preserve"> 57</w:t>
      </w:r>
      <w:r w:rsidRPr="00E91825">
        <w:rPr>
          <w:szCs w:val="24"/>
          <w:lang w:val="en-US"/>
        </w:rPr>
        <w:t>–</w:t>
      </w:r>
      <w:r w:rsidRPr="00B04D67">
        <w:rPr>
          <w:szCs w:val="24"/>
          <w:lang w:val="en-US"/>
        </w:rPr>
        <w:t>74</w:t>
      </w:r>
      <w:r w:rsidRPr="00E91825">
        <w:rPr>
          <w:szCs w:val="24"/>
          <w:lang w:val="en-US"/>
        </w:rPr>
        <w:t>.</w:t>
      </w:r>
    </w:p>
    <w:p w:rsidR="003F054F" w:rsidRPr="00095341" w:rsidRDefault="003F054F" w:rsidP="003F054F">
      <w:pPr>
        <w:pStyle w:val="afd"/>
        <w:numPr>
          <w:ilvl w:val="0"/>
          <w:numId w:val="28"/>
        </w:numPr>
        <w:ind w:hanging="720"/>
        <w:rPr>
          <w:szCs w:val="24"/>
        </w:rPr>
      </w:pPr>
      <w:r w:rsidRPr="00FB4615">
        <w:rPr>
          <w:rFonts w:eastAsia="Times New Roman"/>
          <w:iCs/>
          <w:szCs w:val="24"/>
          <w:lang w:eastAsia="ru-RU"/>
        </w:rPr>
        <w:t>Виноградова</w:t>
      </w:r>
      <w:r w:rsidRPr="000B7FCB">
        <w:rPr>
          <w:rFonts w:eastAsia="Times New Roman"/>
          <w:iCs/>
          <w:szCs w:val="24"/>
          <w:lang w:eastAsia="ru-RU"/>
        </w:rPr>
        <w:t xml:space="preserve"> </w:t>
      </w:r>
      <w:r>
        <w:rPr>
          <w:rFonts w:eastAsia="Times New Roman"/>
          <w:iCs/>
          <w:szCs w:val="24"/>
          <w:lang w:eastAsia="ru-RU"/>
        </w:rPr>
        <w:t>Ю</w:t>
      </w:r>
      <w:r w:rsidRPr="000B7FCB">
        <w:rPr>
          <w:rFonts w:eastAsia="Times New Roman"/>
          <w:iCs/>
          <w:szCs w:val="24"/>
          <w:lang w:eastAsia="ru-RU"/>
        </w:rPr>
        <w:t>.</w:t>
      </w:r>
      <w:r w:rsidRPr="00FB4615">
        <w:rPr>
          <w:rFonts w:eastAsia="Times New Roman"/>
          <w:iCs/>
          <w:szCs w:val="24"/>
          <w:lang w:eastAsia="ru-RU"/>
        </w:rPr>
        <w:t>Е</w:t>
      </w:r>
      <w:r w:rsidRPr="000B7FCB">
        <w:rPr>
          <w:rFonts w:eastAsia="Times New Roman"/>
          <w:iCs/>
          <w:szCs w:val="24"/>
          <w:lang w:eastAsia="ru-RU"/>
        </w:rPr>
        <w:t xml:space="preserve">. </w:t>
      </w:r>
      <w:r w:rsidRPr="00FB4615">
        <w:rPr>
          <w:rFonts w:eastAsia="Times New Roman" w:hint="eastAsia"/>
          <w:bCs/>
          <w:szCs w:val="24"/>
          <w:lang w:eastAsia="ru-RU"/>
        </w:rPr>
        <w:t>Применение</w:t>
      </w:r>
      <w:r w:rsidRPr="000B7FCB">
        <w:rPr>
          <w:rFonts w:eastAsia="Times New Roman"/>
          <w:bCs/>
          <w:szCs w:val="24"/>
          <w:lang w:eastAsia="ru-RU"/>
        </w:rPr>
        <w:t xml:space="preserve"> </w:t>
      </w:r>
      <w:r w:rsidRPr="00FB4615">
        <w:rPr>
          <w:rFonts w:eastAsia="Times New Roman" w:hint="eastAsia"/>
          <w:bCs/>
          <w:szCs w:val="24"/>
          <w:lang w:eastAsia="ru-RU"/>
        </w:rPr>
        <w:t>интерферона</w:t>
      </w:r>
      <w:r w:rsidRPr="000B7FCB">
        <w:rPr>
          <w:rFonts w:eastAsia="Times New Roman"/>
          <w:bCs/>
          <w:szCs w:val="24"/>
          <w:lang w:eastAsia="ru-RU"/>
        </w:rPr>
        <w:t>-</w:t>
      </w:r>
      <w:r w:rsidRPr="00FB4615">
        <w:rPr>
          <w:rFonts w:eastAsia="Times New Roman" w:hint="eastAsia"/>
          <w:bCs/>
          <w:szCs w:val="24"/>
          <w:lang w:eastAsia="ru-RU"/>
        </w:rPr>
        <w:t>α</w:t>
      </w:r>
      <w:r w:rsidRPr="000B7FCB">
        <w:rPr>
          <w:rFonts w:eastAsia="Times New Roman"/>
          <w:bCs/>
          <w:szCs w:val="24"/>
          <w:lang w:eastAsia="ru-RU"/>
        </w:rPr>
        <w:t xml:space="preserve"> </w:t>
      </w:r>
      <w:r w:rsidRPr="00FB4615">
        <w:rPr>
          <w:rFonts w:eastAsia="Times New Roman" w:hint="eastAsia"/>
          <w:bCs/>
          <w:szCs w:val="24"/>
          <w:lang w:eastAsia="ru-RU"/>
        </w:rPr>
        <w:t>при</w:t>
      </w:r>
      <w:r w:rsidRPr="000B7FCB">
        <w:rPr>
          <w:rFonts w:eastAsia="Times New Roman"/>
          <w:bCs/>
          <w:szCs w:val="24"/>
          <w:lang w:eastAsia="ru-RU"/>
        </w:rPr>
        <w:t xml:space="preserve"> </w:t>
      </w:r>
      <w:r w:rsidRPr="00FB4615">
        <w:rPr>
          <w:rFonts w:eastAsia="Times New Roman" w:hint="eastAsia"/>
          <w:bCs/>
          <w:szCs w:val="24"/>
          <w:lang w:eastAsia="ru-RU"/>
        </w:rPr>
        <w:t>Т</w:t>
      </w:r>
      <w:r w:rsidRPr="000B7FCB">
        <w:rPr>
          <w:rFonts w:eastAsia="Times New Roman"/>
          <w:bCs/>
          <w:szCs w:val="24"/>
          <w:lang w:eastAsia="ru-RU"/>
        </w:rPr>
        <w:t>-</w:t>
      </w:r>
      <w:r w:rsidRPr="00FB4615">
        <w:rPr>
          <w:rFonts w:eastAsia="Times New Roman" w:hint="eastAsia"/>
          <w:bCs/>
          <w:szCs w:val="24"/>
          <w:lang w:eastAsia="ru-RU"/>
        </w:rPr>
        <w:t>клеточных</w:t>
      </w:r>
      <w:r w:rsidRPr="000B7FCB">
        <w:rPr>
          <w:rFonts w:eastAsia="Times New Roman"/>
          <w:bCs/>
          <w:szCs w:val="24"/>
          <w:lang w:eastAsia="ru-RU"/>
        </w:rPr>
        <w:t xml:space="preserve"> </w:t>
      </w:r>
      <w:r w:rsidRPr="00FB4615">
        <w:rPr>
          <w:rFonts w:eastAsia="Times New Roman" w:hint="eastAsia"/>
          <w:bCs/>
          <w:szCs w:val="24"/>
          <w:lang w:eastAsia="ru-RU"/>
        </w:rPr>
        <w:t>лимфомах</w:t>
      </w:r>
      <w:r w:rsidRPr="000B7FCB">
        <w:rPr>
          <w:rFonts w:eastAsia="Times New Roman"/>
          <w:bCs/>
          <w:szCs w:val="24"/>
          <w:lang w:eastAsia="ru-RU"/>
        </w:rPr>
        <w:t xml:space="preserve"> </w:t>
      </w:r>
      <w:r w:rsidRPr="00FB4615">
        <w:rPr>
          <w:rFonts w:eastAsia="Times New Roman" w:hint="eastAsia"/>
          <w:bCs/>
          <w:szCs w:val="24"/>
          <w:lang w:eastAsia="ru-RU"/>
        </w:rPr>
        <w:t>кожи</w:t>
      </w:r>
      <w:r>
        <w:rPr>
          <w:rFonts w:eastAsia="Times New Roman"/>
          <w:bCs/>
          <w:szCs w:val="24"/>
          <w:lang w:eastAsia="ru-RU"/>
        </w:rPr>
        <w:t xml:space="preserve">. </w:t>
      </w:r>
      <w:r w:rsidRPr="00FB4615">
        <w:rPr>
          <w:rFonts w:eastAsia="Times New Roman" w:hint="eastAsia"/>
          <w:bCs/>
          <w:szCs w:val="24"/>
          <w:lang w:eastAsia="ru-RU"/>
        </w:rPr>
        <w:t>Гематол</w:t>
      </w:r>
      <w:r>
        <w:rPr>
          <w:rFonts w:eastAsia="Times New Roman"/>
          <w:bCs/>
          <w:szCs w:val="24"/>
          <w:lang w:eastAsia="ru-RU"/>
        </w:rPr>
        <w:t>огия</w:t>
      </w:r>
      <w:r w:rsidRPr="00FB4615">
        <w:rPr>
          <w:rFonts w:eastAsia="Times New Roman"/>
          <w:bCs/>
          <w:szCs w:val="24"/>
          <w:lang w:eastAsia="ru-RU"/>
        </w:rPr>
        <w:t xml:space="preserve"> </w:t>
      </w:r>
      <w:r w:rsidRPr="00FB4615">
        <w:rPr>
          <w:rFonts w:eastAsia="Times New Roman" w:hint="eastAsia"/>
          <w:bCs/>
          <w:szCs w:val="24"/>
          <w:lang w:eastAsia="ru-RU"/>
        </w:rPr>
        <w:t>и</w:t>
      </w:r>
      <w:r w:rsidRPr="00FB4615">
        <w:rPr>
          <w:rFonts w:eastAsia="Times New Roman"/>
          <w:bCs/>
          <w:szCs w:val="24"/>
          <w:lang w:eastAsia="ru-RU"/>
        </w:rPr>
        <w:t xml:space="preserve"> </w:t>
      </w:r>
      <w:r w:rsidRPr="00FB4615">
        <w:rPr>
          <w:rFonts w:eastAsia="Times New Roman" w:hint="eastAsia"/>
          <w:bCs/>
          <w:szCs w:val="24"/>
          <w:lang w:eastAsia="ru-RU"/>
        </w:rPr>
        <w:t>трансфузиол</w:t>
      </w:r>
      <w:r>
        <w:rPr>
          <w:rFonts w:eastAsia="Times New Roman"/>
          <w:bCs/>
          <w:szCs w:val="24"/>
          <w:lang w:eastAsia="ru-RU"/>
        </w:rPr>
        <w:t>огия</w:t>
      </w:r>
      <w:r w:rsidRPr="00FB4615">
        <w:rPr>
          <w:rFonts w:eastAsia="Times New Roman"/>
          <w:bCs/>
          <w:szCs w:val="24"/>
          <w:lang w:eastAsia="ru-RU"/>
        </w:rPr>
        <w:t xml:space="preserve"> 2012</w:t>
      </w:r>
      <w:r>
        <w:rPr>
          <w:rFonts w:eastAsia="Times New Roman"/>
          <w:bCs/>
          <w:szCs w:val="24"/>
          <w:lang w:eastAsia="ru-RU"/>
        </w:rPr>
        <w:t>:</w:t>
      </w:r>
      <w:r w:rsidRPr="00FB4615">
        <w:rPr>
          <w:rFonts w:eastAsia="Times New Roman"/>
          <w:bCs/>
          <w:szCs w:val="24"/>
          <w:lang w:eastAsia="ru-RU"/>
        </w:rPr>
        <w:t xml:space="preserve"> 57</w:t>
      </w:r>
      <w:r>
        <w:rPr>
          <w:rFonts w:eastAsia="Times New Roman"/>
          <w:bCs/>
          <w:szCs w:val="24"/>
          <w:lang w:eastAsia="ru-RU"/>
        </w:rPr>
        <w:t xml:space="preserve"> (</w:t>
      </w:r>
      <w:r w:rsidRPr="00FB4615">
        <w:rPr>
          <w:rFonts w:eastAsia="Times New Roman"/>
          <w:bCs/>
          <w:szCs w:val="24"/>
          <w:lang w:eastAsia="ru-RU"/>
        </w:rPr>
        <w:t>3</w:t>
      </w:r>
      <w:r>
        <w:rPr>
          <w:rFonts w:eastAsia="Times New Roman"/>
          <w:bCs/>
          <w:szCs w:val="24"/>
          <w:lang w:eastAsia="ru-RU"/>
        </w:rPr>
        <w:t>): 99–100.</w:t>
      </w:r>
    </w:p>
    <w:p w:rsidR="004C455B" w:rsidRPr="003D5FFC" w:rsidRDefault="004C455B" w:rsidP="003F054F">
      <w:pPr>
        <w:pStyle w:val="afd"/>
        <w:numPr>
          <w:ilvl w:val="0"/>
          <w:numId w:val="28"/>
        </w:numPr>
        <w:ind w:hanging="720"/>
        <w:rPr>
          <w:szCs w:val="24"/>
          <w:lang w:val="en-US"/>
        </w:rPr>
      </w:pPr>
      <w:r w:rsidRPr="00013381">
        <w:rPr>
          <w:rFonts w:eastAsia="AdvPS497E2" w:cs="AdvPS497E2"/>
          <w:color w:val="000000"/>
          <w:szCs w:val="24"/>
          <w:lang w:val="en-US"/>
        </w:rPr>
        <w:t>Zackheim H.S.</w:t>
      </w:r>
      <w:r>
        <w:rPr>
          <w:rFonts w:eastAsia="AdvPS497E2" w:cs="AdvPS497E2"/>
          <w:color w:val="000000"/>
          <w:lang w:val="en-US"/>
        </w:rPr>
        <w:t xml:space="preserve"> </w:t>
      </w:r>
      <w:r w:rsidRPr="00BA5FA4">
        <w:rPr>
          <w:rFonts w:eastAsia="AdvPS497E2" w:cs="AdvPS497E2"/>
          <w:color w:val="000000"/>
          <w:lang w:val="en-US"/>
        </w:rPr>
        <w:t>Epstein E</w:t>
      </w:r>
      <w:r>
        <w:rPr>
          <w:rFonts w:eastAsia="AdvPS497E2" w:cs="AdvPS497E2"/>
          <w:color w:val="000000"/>
          <w:lang w:val="en-US"/>
        </w:rPr>
        <w:t>.</w:t>
      </w:r>
      <w:r w:rsidRPr="00BA5FA4">
        <w:rPr>
          <w:rFonts w:eastAsia="AdvPS497E2" w:cs="AdvPS497E2"/>
          <w:color w:val="000000"/>
          <w:lang w:val="en-US"/>
        </w:rPr>
        <w:t>H</w:t>
      </w:r>
      <w:r>
        <w:rPr>
          <w:rFonts w:eastAsia="AdvPS497E2" w:cs="AdvPS497E2"/>
          <w:color w:val="000000"/>
          <w:lang w:val="en-US"/>
        </w:rPr>
        <w:t>.</w:t>
      </w:r>
      <w:r w:rsidRPr="00BA5FA4">
        <w:rPr>
          <w:rFonts w:eastAsia="AdvPS497E2" w:cs="AdvPS497E2"/>
          <w:color w:val="000000"/>
          <w:lang w:val="en-US"/>
        </w:rPr>
        <w:t xml:space="preserve"> Jr</w:t>
      </w:r>
      <w:r>
        <w:rPr>
          <w:rFonts w:eastAsia="AdvPS497E2" w:cs="AdvPS497E2"/>
          <w:color w:val="000000"/>
          <w:lang w:val="en-US"/>
        </w:rPr>
        <w:t xml:space="preserve">. </w:t>
      </w:r>
      <w:r w:rsidRPr="00BA5FA4">
        <w:rPr>
          <w:rFonts w:eastAsia="AdvPS497E2" w:cs="AdvPS497E2"/>
          <w:bCs/>
          <w:color w:val="000000"/>
          <w:lang w:val="en-US" w:bidi="hi-IN"/>
        </w:rPr>
        <w:t xml:space="preserve">Low-dose </w:t>
      </w:r>
      <w:r>
        <w:rPr>
          <w:rFonts w:eastAsia="AdvPS497E2" w:cs="AdvPS497E2"/>
          <w:bCs/>
          <w:color w:val="000000"/>
          <w:lang w:val="en-US"/>
        </w:rPr>
        <w:t>m</w:t>
      </w:r>
      <w:r w:rsidRPr="00BA5FA4">
        <w:rPr>
          <w:rFonts w:eastAsia="AdvPS497E2" w:cs="AdvPS497E2"/>
          <w:bCs/>
          <w:color w:val="000000"/>
          <w:lang w:val="en-US" w:bidi="hi-IN"/>
        </w:rPr>
        <w:t>ethotrexate for</w:t>
      </w:r>
      <w:r w:rsidRPr="00095341">
        <w:rPr>
          <w:color w:val="000000"/>
          <w:lang w:val="en-US"/>
        </w:rPr>
        <w:t xml:space="preserve"> the Sézary syndrome. </w:t>
      </w:r>
      <w:r w:rsidR="00DE7BBA" w:rsidRPr="00DE7BBA">
        <w:rPr>
          <w:rFonts w:eastAsia="AdvPS497E2" w:cs="AdvPS497E2"/>
          <w:bCs/>
          <w:color w:val="000000"/>
          <w:lang w:val="en-US"/>
        </w:rPr>
        <w:t>J Am Acad</w:t>
      </w:r>
      <w:r>
        <w:rPr>
          <w:rFonts w:eastAsia="AdvPS497E2" w:cs="AdvPS497E2"/>
          <w:bCs/>
          <w:color w:val="000000"/>
          <w:lang w:val="en-US"/>
        </w:rPr>
        <w:t xml:space="preserve"> </w:t>
      </w:r>
      <w:r w:rsidR="00DE7BBA" w:rsidRPr="00DE7BBA">
        <w:rPr>
          <w:color w:val="000000"/>
          <w:lang w:val="en-US"/>
        </w:rPr>
        <w:t>Dermatol</w:t>
      </w:r>
      <w:r>
        <w:rPr>
          <w:rFonts w:eastAsia="AdvPS497E2" w:cs="AdvPS497E2"/>
          <w:bCs/>
          <w:color w:val="000000"/>
          <w:lang w:val="en-US"/>
        </w:rPr>
        <w:t xml:space="preserve">. </w:t>
      </w:r>
      <w:r w:rsidR="00DE7BBA" w:rsidRPr="00DE7BBA">
        <w:rPr>
          <w:rFonts w:eastAsia="AdvPS497E2" w:cs="AdvPS497E2"/>
          <w:bCs/>
          <w:color w:val="000000"/>
          <w:lang w:val="en-US" w:bidi="hi-IN"/>
        </w:rPr>
        <w:t>1989</w:t>
      </w:r>
      <w:r>
        <w:rPr>
          <w:rFonts w:eastAsia="AdvPS497E2" w:cs="AdvPS497E2"/>
          <w:bCs/>
          <w:color w:val="000000"/>
          <w:lang w:val="en-US"/>
        </w:rPr>
        <w:t>;</w:t>
      </w:r>
      <w:r w:rsidR="00DE7BBA" w:rsidRPr="00DE7BBA">
        <w:rPr>
          <w:rFonts w:eastAsia="AdvPS497E2" w:cs="AdvPS497E2"/>
          <w:bCs/>
          <w:color w:val="000000"/>
          <w:lang w:val="en-US"/>
        </w:rPr>
        <w:t xml:space="preserve"> </w:t>
      </w:r>
      <w:r w:rsidR="00DE7BBA" w:rsidRPr="00DE7BBA">
        <w:rPr>
          <w:rFonts w:eastAsia="AdvPS497E2" w:cs="AdvPS497E2"/>
          <w:bCs/>
          <w:color w:val="000000"/>
          <w:lang w:val="en-US" w:bidi="hi-IN"/>
        </w:rPr>
        <w:t>21</w:t>
      </w:r>
      <w:r w:rsidR="00DE7BBA" w:rsidRPr="00DE7BBA">
        <w:rPr>
          <w:color w:val="000000"/>
          <w:lang w:val="en-US"/>
        </w:rPr>
        <w:t xml:space="preserve"> (4</w:t>
      </w:r>
      <w:r w:rsidR="00DE7BBA" w:rsidRPr="00DE7BBA">
        <w:rPr>
          <w:rFonts w:eastAsia="AdvPS497E2" w:cs="AdvPS497E2"/>
          <w:bCs/>
          <w:color w:val="000000"/>
          <w:lang w:val="en-US" w:bidi="hi-IN"/>
        </w:rPr>
        <w:t xml:space="preserve"> Pt 1)</w:t>
      </w:r>
      <w:r>
        <w:rPr>
          <w:rFonts w:eastAsia="AdvPS497E2" w:cs="AdvPS497E2"/>
          <w:bCs/>
          <w:color w:val="000000"/>
          <w:lang w:val="en-US" w:bidi="hi-IN"/>
        </w:rPr>
        <w:t>:</w:t>
      </w:r>
      <w:r w:rsidR="00DE7BBA" w:rsidRPr="00DE7BBA">
        <w:rPr>
          <w:rFonts w:eastAsia="AdvPS497E2" w:cs="AdvPS497E2"/>
          <w:bCs/>
          <w:color w:val="000000"/>
          <w:lang w:val="en-US" w:bidi="hi-IN"/>
        </w:rPr>
        <w:t xml:space="preserve"> 757</w:t>
      </w:r>
      <w:r w:rsidRPr="00013381">
        <w:rPr>
          <w:rFonts w:eastAsia="AdvPS497E2" w:cs="AdvPS497E2"/>
          <w:color w:val="000000"/>
          <w:szCs w:val="24"/>
          <w:lang w:val="en-US"/>
        </w:rPr>
        <w:t>–</w:t>
      </w:r>
      <w:r>
        <w:rPr>
          <w:rFonts w:eastAsia="AdvPS497E2" w:cs="AdvPS497E2"/>
          <w:bCs/>
          <w:color w:val="000000"/>
          <w:lang w:val="en-US"/>
        </w:rPr>
        <w:t>7</w:t>
      </w:r>
      <w:r w:rsidR="00DE7BBA" w:rsidRPr="00DE7BBA">
        <w:rPr>
          <w:rFonts w:eastAsia="AdvPS497E2" w:cs="AdvPS497E2"/>
          <w:bCs/>
          <w:color w:val="000000"/>
          <w:lang w:val="en-US" w:bidi="hi-IN"/>
        </w:rPr>
        <w:t>62</w:t>
      </w:r>
      <w:r w:rsidRPr="00095341">
        <w:rPr>
          <w:color w:val="000000"/>
          <w:lang w:val="en-US"/>
        </w:rPr>
        <w:t>.</w:t>
      </w:r>
    </w:p>
    <w:p w:rsidR="003F054F" w:rsidRDefault="003F054F" w:rsidP="003F054F">
      <w:pPr>
        <w:pStyle w:val="afd"/>
        <w:numPr>
          <w:ilvl w:val="0"/>
          <w:numId w:val="28"/>
        </w:numPr>
        <w:ind w:hanging="720"/>
        <w:rPr>
          <w:szCs w:val="24"/>
          <w:lang w:val="en-US"/>
        </w:rPr>
      </w:pPr>
      <w:r w:rsidRPr="00B04D67">
        <w:rPr>
          <w:szCs w:val="24"/>
          <w:lang w:val="en-US"/>
        </w:rPr>
        <w:t>Roenigk</w:t>
      </w:r>
      <w:r w:rsidRPr="003D5FFC">
        <w:rPr>
          <w:szCs w:val="24"/>
          <w:lang w:val="en-US"/>
        </w:rPr>
        <w:t xml:space="preserve"> </w:t>
      </w:r>
      <w:r w:rsidRPr="00B04D67">
        <w:rPr>
          <w:szCs w:val="24"/>
          <w:lang w:val="en-US"/>
        </w:rPr>
        <w:t>H</w:t>
      </w:r>
      <w:r w:rsidRPr="003D5FFC">
        <w:rPr>
          <w:szCs w:val="24"/>
          <w:lang w:val="en-US"/>
        </w:rPr>
        <w:t>.</w:t>
      </w:r>
      <w:r w:rsidRPr="00B04D67">
        <w:rPr>
          <w:szCs w:val="24"/>
          <w:lang w:val="en-US"/>
        </w:rPr>
        <w:t>H</w:t>
      </w:r>
      <w:r w:rsidRPr="003D5FFC">
        <w:rPr>
          <w:szCs w:val="24"/>
          <w:lang w:val="en-US"/>
        </w:rPr>
        <w:t xml:space="preserve">. </w:t>
      </w:r>
      <w:r w:rsidRPr="00B04D67">
        <w:rPr>
          <w:szCs w:val="24"/>
          <w:lang w:val="en-US"/>
        </w:rPr>
        <w:t>Jr</w:t>
      </w:r>
      <w:r w:rsidRPr="003D5FFC">
        <w:rPr>
          <w:szCs w:val="24"/>
          <w:lang w:val="en-US"/>
        </w:rPr>
        <w:t xml:space="preserve">, </w:t>
      </w:r>
      <w:r w:rsidRPr="00B04D67">
        <w:rPr>
          <w:szCs w:val="24"/>
          <w:lang w:val="en-US"/>
        </w:rPr>
        <w:t>Kuzel</w:t>
      </w:r>
      <w:r w:rsidRPr="003D5FFC">
        <w:rPr>
          <w:szCs w:val="24"/>
          <w:lang w:val="en-US"/>
        </w:rPr>
        <w:t xml:space="preserve"> </w:t>
      </w:r>
      <w:r w:rsidRPr="00B04D67">
        <w:rPr>
          <w:szCs w:val="24"/>
          <w:lang w:val="en-US"/>
        </w:rPr>
        <w:t>T</w:t>
      </w:r>
      <w:r w:rsidRPr="003D5FFC">
        <w:rPr>
          <w:szCs w:val="24"/>
          <w:lang w:val="en-US"/>
        </w:rPr>
        <w:t>.</w:t>
      </w:r>
      <w:r w:rsidRPr="00B04D67">
        <w:rPr>
          <w:szCs w:val="24"/>
          <w:lang w:val="en-US"/>
        </w:rPr>
        <w:t>M</w:t>
      </w:r>
      <w:r w:rsidRPr="003D5FFC">
        <w:rPr>
          <w:szCs w:val="24"/>
          <w:lang w:val="en-US"/>
        </w:rPr>
        <w:t xml:space="preserve">., </w:t>
      </w:r>
      <w:r w:rsidRPr="00B04D67">
        <w:rPr>
          <w:szCs w:val="24"/>
          <w:lang w:val="en-US"/>
        </w:rPr>
        <w:t>Skoutelis</w:t>
      </w:r>
      <w:r w:rsidRPr="003D5FFC">
        <w:rPr>
          <w:szCs w:val="24"/>
          <w:lang w:val="en-US"/>
        </w:rPr>
        <w:t xml:space="preserve"> </w:t>
      </w:r>
      <w:r w:rsidRPr="00B04D67">
        <w:rPr>
          <w:szCs w:val="24"/>
          <w:lang w:val="en-US"/>
        </w:rPr>
        <w:t>A</w:t>
      </w:r>
      <w:r w:rsidRPr="003D5FFC">
        <w:rPr>
          <w:szCs w:val="24"/>
          <w:lang w:val="en-US"/>
        </w:rPr>
        <w:t>.</w:t>
      </w:r>
      <w:r w:rsidRPr="00B04D67">
        <w:rPr>
          <w:szCs w:val="24"/>
          <w:lang w:val="en-US"/>
        </w:rPr>
        <w:t>P</w:t>
      </w:r>
      <w:r w:rsidRPr="003D5FFC">
        <w:rPr>
          <w:szCs w:val="24"/>
          <w:lang w:val="en-US"/>
        </w:rPr>
        <w:t xml:space="preserve">. </w:t>
      </w:r>
      <w:r w:rsidRPr="00B04D67">
        <w:rPr>
          <w:szCs w:val="24"/>
          <w:lang w:val="en-US"/>
        </w:rPr>
        <w:t>et</w:t>
      </w:r>
      <w:r w:rsidRPr="003D5FFC">
        <w:rPr>
          <w:szCs w:val="24"/>
          <w:lang w:val="en-US"/>
        </w:rPr>
        <w:t xml:space="preserve"> </w:t>
      </w:r>
      <w:r w:rsidRPr="00B04D67">
        <w:rPr>
          <w:szCs w:val="24"/>
          <w:lang w:val="en-US"/>
        </w:rPr>
        <w:t>al</w:t>
      </w:r>
      <w:r w:rsidRPr="003D5FFC">
        <w:rPr>
          <w:szCs w:val="24"/>
          <w:lang w:val="en-US"/>
        </w:rPr>
        <w:t xml:space="preserve">. </w:t>
      </w:r>
      <w:r w:rsidRPr="00B04D67">
        <w:rPr>
          <w:szCs w:val="24"/>
          <w:lang w:val="en-US"/>
        </w:rPr>
        <w:t>Photochemotherapy alone or combined with interferon alpha-2a in the treatment of cutaneous T-cell lymphoma. J Invest Dermatol 1990; 95 (6 Suppl); 198S</w:t>
      </w:r>
      <w:r w:rsidRPr="00E91825">
        <w:rPr>
          <w:szCs w:val="24"/>
          <w:lang w:val="en-US"/>
        </w:rPr>
        <w:t>–</w:t>
      </w:r>
      <w:r w:rsidRPr="00B04D67">
        <w:rPr>
          <w:szCs w:val="24"/>
          <w:lang w:val="en-US"/>
        </w:rPr>
        <w:t>205S.</w:t>
      </w:r>
    </w:p>
    <w:p w:rsidR="003F054F" w:rsidRDefault="003F054F" w:rsidP="003F054F">
      <w:pPr>
        <w:pStyle w:val="afd"/>
        <w:numPr>
          <w:ilvl w:val="0"/>
          <w:numId w:val="28"/>
        </w:numPr>
        <w:ind w:hanging="720"/>
        <w:rPr>
          <w:szCs w:val="24"/>
          <w:lang w:val="en-US"/>
        </w:rPr>
      </w:pPr>
      <w:r w:rsidRPr="00B04D67">
        <w:rPr>
          <w:szCs w:val="24"/>
          <w:lang w:val="en-US"/>
        </w:rPr>
        <w:t>Kuzel T.M., Gilyon K., Springer E. et al. Interferon alfa-2a combined with phototherapy in the treatment of cutaneous T-cell lymphoma. J Natl Cancer Inst 1990;  82 (3); 203</w:t>
      </w:r>
      <w:r w:rsidRPr="00E91825">
        <w:rPr>
          <w:szCs w:val="24"/>
          <w:lang w:val="en-US"/>
        </w:rPr>
        <w:t>–</w:t>
      </w:r>
      <w:r w:rsidRPr="00B04D67">
        <w:rPr>
          <w:szCs w:val="24"/>
          <w:lang w:val="en-US"/>
        </w:rPr>
        <w:t>207.</w:t>
      </w:r>
    </w:p>
    <w:p w:rsidR="003F054F" w:rsidRPr="003D5FFC" w:rsidRDefault="003F054F" w:rsidP="003F054F">
      <w:pPr>
        <w:pStyle w:val="afd"/>
        <w:numPr>
          <w:ilvl w:val="0"/>
          <w:numId w:val="28"/>
        </w:numPr>
        <w:ind w:hanging="720"/>
        <w:rPr>
          <w:szCs w:val="24"/>
          <w:lang w:val="en-US"/>
        </w:rPr>
      </w:pPr>
      <w:r w:rsidRPr="00B04D67">
        <w:rPr>
          <w:szCs w:val="24"/>
          <w:lang w:val="en-US"/>
        </w:rPr>
        <w:t>Avilés A., Nambo M.J., Neri N. et al. Interferon and low dose methotrexate improve outcome in refractory mycosis fungoides/Sézary syndrome. Cancer Biother Radiopharm 2007; 22 (6); 836</w:t>
      </w:r>
      <w:r w:rsidRPr="00E91825">
        <w:rPr>
          <w:szCs w:val="24"/>
          <w:lang w:val="en-US"/>
        </w:rPr>
        <w:t>–</w:t>
      </w:r>
      <w:r w:rsidRPr="00B04D67">
        <w:rPr>
          <w:szCs w:val="24"/>
          <w:lang w:val="en-US"/>
        </w:rPr>
        <w:t>840.</w:t>
      </w:r>
    </w:p>
    <w:p w:rsidR="003F054F" w:rsidRPr="003D5FFC" w:rsidRDefault="003F054F" w:rsidP="003F054F">
      <w:pPr>
        <w:pStyle w:val="afd"/>
        <w:numPr>
          <w:ilvl w:val="0"/>
          <w:numId w:val="28"/>
        </w:numPr>
        <w:ind w:hanging="720"/>
        <w:rPr>
          <w:szCs w:val="24"/>
        </w:rPr>
      </w:pPr>
      <w:r w:rsidRPr="00FB4615">
        <w:rPr>
          <w:rFonts w:eastAsia="Times New Roman"/>
          <w:bCs/>
          <w:szCs w:val="24"/>
          <w:lang w:eastAsia="ru-RU"/>
        </w:rPr>
        <w:t>Чернова Н.Г., Коломейцев О.А.</w:t>
      </w:r>
      <w:r w:rsidRPr="00FB4615">
        <w:rPr>
          <w:rFonts w:eastAsia="Times New Roman"/>
          <w:b/>
          <w:bCs/>
          <w:szCs w:val="24"/>
          <w:lang w:eastAsia="ru-RU"/>
        </w:rPr>
        <w:t xml:space="preserve"> </w:t>
      </w:r>
      <w:r w:rsidRPr="00FB4615">
        <w:rPr>
          <w:rFonts w:eastAsia="Times New Roman"/>
          <w:szCs w:val="24"/>
          <w:lang w:eastAsia="ru-RU"/>
        </w:rPr>
        <w:t>Современные возможности</w:t>
      </w:r>
      <w:r>
        <w:rPr>
          <w:rFonts w:eastAsia="Times New Roman"/>
          <w:szCs w:val="24"/>
          <w:lang w:eastAsia="ru-RU"/>
        </w:rPr>
        <w:t xml:space="preserve"> </w:t>
      </w:r>
      <w:r w:rsidRPr="00FB4615">
        <w:rPr>
          <w:rFonts w:eastAsia="Times New Roman"/>
          <w:szCs w:val="24"/>
          <w:lang w:eastAsia="ru-RU"/>
        </w:rPr>
        <w:t>оптимизации лечения грибовидного</w:t>
      </w:r>
      <w:r>
        <w:rPr>
          <w:rFonts w:eastAsia="Times New Roman"/>
          <w:szCs w:val="24"/>
          <w:lang w:eastAsia="ru-RU"/>
        </w:rPr>
        <w:t xml:space="preserve"> </w:t>
      </w:r>
      <w:r w:rsidRPr="00FB4615">
        <w:rPr>
          <w:rFonts w:eastAsia="Times New Roman"/>
          <w:szCs w:val="24"/>
          <w:lang w:eastAsia="ru-RU"/>
        </w:rPr>
        <w:t>микоза и синдрома Сезари</w:t>
      </w:r>
      <w:r>
        <w:rPr>
          <w:rFonts w:eastAsia="Times New Roman"/>
          <w:szCs w:val="24"/>
          <w:lang w:eastAsia="ru-RU"/>
        </w:rPr>
        <w:t xml:space="preserve">. Клиническая онкогематология. </w:t>
      </w:r>
      <w:r w:rsidRPr="00FB4615">
        <w:rPr>
          <w:rFonts w:eastAsia="Times New Roman"/>
          <w:szCs w:val="24"/>
          <w:lang w:eastAsia="ru-RU"/>
        </w:rPr>
        <w:t>2018;11</w:t>
      </w:r>
      <w:r>
        <w:rPr>
          <w:rFonts w:eastAsia="Times New Roman"/>
          <w:szCs w:val="24"/>
          <w:lang w:eastAsia="ru-RU"/>
        </w:rPr>
        <w:t xml:space="preserve"> </w:t>
      </w:r>
      <w:r w:rsidRPr="00FB4615">
        <w:rPr>
          <w:rFonts w:eastAsia="Times New Roman"/>
          <w:szCs w:val="24"/>
          <w:lang w:eastAsia="ru-RU"/>
        </w:rPr>
        <w:t>(1):</w:t>
      </w:r>
      <w:r>
        <w:rPr>
          <w:rFonts w:eastAsia="Times New Roman"/>
          <w:szCs w:val="24"/>
          <w:lang w:eastAsia="ru-RU"/>
        </w:rPr>
        <w:t xml:space="preserve"> </w:t>
      </w:r>
      <w:r w:rsidRPr="00FB4615">
        <w:rPr>
          <w:rFonts w:eastAsia="Times New Roman"/>
          <w:szCs w:val="24"/>
          <w:lang w:eastAsia="ru-RU"/>
        </w:rPr>
        <w:t>34–41</w:t>
      </w:r>
      <w:r>
        <w:rPr>
          <w:rFonts w:eastAsia="Times New Roman"/>
          <w:szCs w:val="24"/>
          <w:lang w:eastAsia="ru-RU"/>
        </w:rPr>
        <w:t>.</w:t>
      </w:r>
    </w:p>
    <w:p w:rsidR="003F054F" w:rsidRDefault="003F054F" w:rsidP="003F054F">
      <w:pPr>
        <w:pStyle w:val="afd"/>
        <w:numPr>
          <w:ilvl w:val="0"/>
          <w:numId w:val="28"/>
        </w:numPr>
        <w:ind w:hanging="720"/>
        <w:rPr>
          <w:szCs w:val="24"/>
          <w:lang w:val="en-US"/>
        </w:rPr>
      </w:pPr>
      <w:r w:rsidRPr="005A12C3">
        <w:rPr>
          <w:szCs w:val="24"/>
          <w:lang w:val="en-US"/>
        </w:rPr>
        <w:t>Photiou</w:t>
      </w:r>
      <w:r>
        <w:rPr>
          <w:szCs w:val="24"/>
          <w:lang w:val="en-US"/>
        </w:rPr>
        <w:t xml:space="preserve"> L., </w:t>
      </w:r>
      <w:r w:rsidRPr="005A12C3">
        <w:rPr>
          <w:szCs w:val="24"/>
          <w:lang w:val="en-US"/>
        </w:rPr>
        <w:t>van der Weyden C</w:t>
      </w:r>
      <w:r>
        <w:rPr>
          <w:szCs w:val="24"/>
          <w:lang w:val="en-US"/>
        </w:rPr>
        <w:t>.,</w:t>
      </w:r>
      <w:r w:rsidRPr="005A12C3">
        <w:rPr>
          <w:szCs w:val="24"/>
          <w:lang w:val="en-US"/>
        </w:rPr>
        <w:t xml:space="preserve"> McCormack</w:t>
      </w:r>
      <w:r>
        <w:rPr>
          <w:szCs w:val="24"/>
          <w:lang w:val="en-US"/>
        </w:rPr>
        <w:t xml:space="preserve"> C.,</w:t>
      </w:r>
      <w:r w:rsidRPr="005A12C3">
        <w:rPr>
          <w:szCs w:val="24"/>
          <w:lang w:val="en-US"/>
        </w:rPr>
        <w:t xml:space="preserve"> Prince</w:t>
      </w:r>
      <w:r>
        <w:rPr>
          <w:szCs w:val="24"/>
          <w:lang w:val="en-US"/>
        </w:rPr>
        <w:t xml:space="preserve"> H.</w:t>
      </w:r>
      <w:r w:rsidRPr="005A12C3">
        <w:rPr>
          <w:szCs w:val="24"/>
          <w:lang w:val="en-US"/>
        </w:rPr>
        <w:t>M</w:t>
      </w:r>
      <w:r>
        <w:rPr>
          <w:szCs w:val="24"/>
          <w:lang w:val="en-US"/>
        </w:rPr>
        <w:t xml:space="preserve">. </w:t>
      </w:r>
      <w:r w:rsidRPr="005A12C3">
        <w:rPr>
          <w:szCs w:val="24"/>
          <w:lang w:val="en-US"/>
        </w:rPr>
        <w:t xml:space="preserve">Systemic </w:t>
      </w:r>
      <w:r>
        <w:rPr>
          <w:szCs w:val="24"/>
          <w:lang w:val="en-US"/>
        </w:rPr>
        <w:t>t</w:t>
      </w:r>
      <w:r w:rsidRPr="005A12C3">
        <w:rPr>
          <w:szCs w:val="24"/>
          <w:lang w:val="en-US"/>
        </w:rPr>
        <w:t xml:space="preserve">reatment </w:t>
      </w:r>
      <w:r>
        <w:rPr>
          <w:szCs w:val="24"/>
          <w:lang w:val="en-US"/>
        </w:rPr>
        <w:t>o</w:t>
      </w:r>
      <w:r w:rsidRPr="005A12C3">
        <w:rPr>
          <w:szCs w:val="24"/>
          <w:lang w:val="en-US"/>
        </w:rPr>
        <w:t xml:space="preserve">ptions for </w:t>
      </w:r>
      <w:r>
        <w:rPr>
          <w:szCs w:val="24"/>
          <w:lang w:val="en-US"/>
        </w:rPr>
        <w:t>a</w:t>
      </w:r>
      <w:r w:rsidRPr="005A12C3">
        <w:rPr>
          <w:szCs w:val="24"/>
          <w:lang w:val="en-US"/>
        </w:rPr>
        <w:t>dvanced-</w:t>
      </w:r>
      <w:r>
        <w:rPr>
          <w:szCs w:val="24"/>
          <w:lang w:val="en-US"/>
        </w:rPr>
        <w:t>s</w:t>
      </w:r>
      <w:r w:rsidRPr="005A12C3">
        <w:rPr>
          <w:szCs w:val="24"/>
          <w:lang w:val="en-US"/>
        </w:rPr>
        <w:t xml:space="preserve">tage </w:t>
      </w:r>
      <w:r>
        <w:rPr>
          <w:szCs w:val="24"/>
          <w:lang w:val="en-US"/>
        </w:rPr>
        <w:t>m</w:t>
      </w:r>
      <w:r w:rsidRPr="005A12C3">
        <w:rPr>
          <w:szCs w:val="24"/>
          <w:lang w:val="en-US"/>
        </w:rPr>
        <w:t xml:space="preserve">ycosis </w:t>
      </w:r>
      <w:r>
        <w:rPr>
          <w:szCs w:val="24"/>
          <w:lang w:val="en-US"/>
        </w:rPr>
        <w:t>f</w:t>
      </w:r>
      <w:r w:rsidRPr="005A12C3">
        <w:rPr>
          <w:szCs w:val="24"/>
          <w:lang w:val="en-US"/>
        </w:rPr>
        <w:t xml:space="preserve">ungoides and Sézary </w:t>
      </w:r>
      <w:r>
        <w:rPr>
          <w:szCs w:val="24"/>
          <w:lang w:val="en-US"/>
        </w:rPr>
        <w:t>s</w:t>
      </w:r>
      <w:r w:rsidRPr="005A12C3">
        <w:rPr>
          <w:szCs w:val="24"/>
          <w:lang w:val="en-US"/>
        </w:rPr>
        <w:t>yndrome</w:t>
      </w:r>
      <w:r>
        <w:rPr>
          <w:szCs w:val="24"/>
          <w:lang w:val="en-US"/>
        </w:rPr>
        <w:t xml:space="preserve">. </w:t>
      </w:r>
      <w:r w:rsidRPr="00DE6007">
        <w:rPr>
          <w:szCs w:val="24"/>
          <w:lang w:val="en-US"/>
        </w:rPr>
        <w:t>Curr Oncol</w:t>
      </w:r>
      <w:r>
        <w:rPr>
          <w:szCs w:val="24"/>
          <w:lang w:val="en-US"/>
        </w:rPr>
        <w:t xml:space="preserve"> Rep.</w:t>
      </w:r>
      <w:r w:rsidRPr="00DE6007">
        <w:rPr>
          <w:szCs w:val="24"/>
          <w:lang w:val="en-US"/>
        </w:rPr>
        <w:t xml:space="preserve"> 2018</w:t>
      </w:r>
      <w:r>
        <w:rPr>
          <w:szCs w:val="24"/>
          <w:lang w:val="en-US"/>
        </w:rPr>
        <w:t>;</w:t>
      </w:r>
      <w:r w:rsidRPr="00DE6007">
        <w:rPr>
          <w:szCs w:val="24"/>
          <w:lang w:val="en-US"/>
        </w:rPr>
        <w:t xml:space="preserve"> 20</w:t>
      </w:r>
      <w:r>
        <w:rPr>
          <w:szCs w:val="24"/>
          <w:lang w:val="en-US"/>
        </w:rPr>
        <w:t xml:space="preserve"> (4)</w:t>
      </w:r>
      <w:r w:rsidRPr="00DE6007">
        <w:rPr>
          <w:szCs w:val="24"/>
          <w:lang w:val="en-US"/>
        </w:rPr>
        <w:t>:32</w:t>
      </w:r>
      <w:r>
        <w:rPr>
          <w:szCs w:val="24"/>
          <w:lang w:val="en-US"/>
        </w:rPr>
        <w:t>.</w:t>
      </w:r>
    </w:p>
    <w:p w:rsidR="00A011E7" w:rsidRPr="00A011E7" w:rsidRDefault="00A011E7" w:rsidP="003F054F">
      <w:pPr>
        <w:pStyle w:val="afd"/>
        <w:numPr>
          <w:ilvl w:val="0"/>
          <w:numId w:val="28"/>
        </w:numPr>
        <w:ind w:hanging="720"/>
        <w:rPr>
          <w:szCs w:val="24"/>
          <w:lang w:val="en-US"/>
        </w:rPr>
      </w:pPr>
      <w:r w:rsidRPr="00013381">
        <w:rPr>
          <w:rFonts w:eastAsia="AdvPS497E2" w:cs="AdvPS497E2"/>
          <w:color w:val="000000"/>
          <w:szCs w:val="24"/>
          <w:lang w:val="en-US"/>
        </w:rPr>
        <w:t>Shiratori S., Fujimoto K., Nishimura M. et al. Allogeneic hematopoietic stem cell transplantation following reduced-intensity conditioning for mycosis fungoides and Sezary syndrome. Hematol Oncol 2016; 34 (1): 9–16.</w:t>
      </w:r>
    </w:p>
    <w:p w:rsidR="00A011E7" w:rsidRPr="00A011E7" w:rsidRDefault="00A011E7" w:rsidP="003F054F">
      <w:pPr>
        <w:pStyle w:val="afd"/>
        <w:numPr>
          <w:ilvl w:val="0"/>
          <w:numId w:val="28"/>
        </w:numPr>
        <w:ind w:hanging="720"/>
        <w:rPr>
          <w:szCs w:val="24"/>
          <w:lang w:val="en-US"/>
        </w:rPr>
      </w:pPr>
      <w:r w:rsidRPr="00013381">
        <w:rPr>
          <w:rFonts w:eastAsia="AdvPS497E2" w:cs="AdvPS497E2"/>
          <w:color w:val="000000"/>
          <w:szCs w:val="24"/>
          <w:lang w:val="en-US"/>
        </w:rPr>
        <w:t xml:space="preserve">Wu P.A., Kim Y.H., Lavori P.W. </w:t>
      </w:r>
      <w:r>
        <w:rPr>
          <w:rFonts w:eastAsia="AdvPS497E2" w:cs="AdvPS497E2"/>
          <w:color w:val="000000"/>
          <w:szCs w:val="24"/>
          <w:lang w:val="en-US"/>
        </w:rPr>
        <w:t>et al.</w:t>
      </w:r>
      <w:r w:rsidRPr="00013381">
        <w:rPr>
          <w:rFonts w:eastAsia="AdvPS497E2" w:cs="AdvPS497E2"/>
          <w:color w:val="000000"/>
          <w:szCs w:val="24"/>
          <w:lang w:val="en-US"/>
        </w:rPr>
        <w:t xml:space="preserve"> A meta-analysis of patients receiving allogeneic or autologous hematopoietic stem cell transplant in mycosis fungoides and Sezary syndrome. Biol Blood Marrow Transplant 2009; 15 (8): 982–</w:t>
      </w:r>
      <w:r>
        <w:rPr>
          <w:rFonts w:eastAsia="AdvPS497E2" w:cs="AdvPS497E2"/>
          <w:color w:val="000000"/>
          <w:szCs w:val="24"/>
          <w:lang w:val="en-US"/>
        </w:rPr>
        <w:t>9</w:t>
      </w:r>
      <w:r w:rsidRPr="00013381">
        <w:rPr>
          <w:rFonts w:eastAsia="AdvPS497E2" w:cs="AdvPS497E2"/>
          <w:color w:val="000000"/>
          <w:szCs w:val="24"/>
          <w:lang w:val="en-US"/>
        </w:rPr>
        <w:t>90.</w:t>
      </w:r>
    </w:p>
    <w:p w:rsidR="00A011E7" w:rsidRPr="00A011E7" w:rsidRDefault="00A011E7" w:rsidP="003F054F">
      <w:pPr>
        <w:pStyle w:val="afd"/>
        <w:numPr>
          <w:ilvl w:val="0"/>
          <w:numId w:val="28"/>
        </w:numPr>
        <w:ind w:hanging="720"/>
        <w:rPr>
          <w:szCs w:val="24"/>
          <w:lang w:val="en-US"/>
        </w:rPr>
      </w:pPr>
      <w:r w:rsidRPr="00013381">
        <w:rPr>
          <w:rFonts w:eastAsia="AdvPS497E2" w:cs="AdvPS497E2"/>
          <w:color w:val="000000"/>
          <w:szCs w:val="24"/>
          <w:lang w:val="en-US"/>
        </w:rPr>
        <w:lastRenderedPageBreak/>
        <w:t>Virmani P., Zain J., Rosen S.T., Hematopoietic stem cell transplantation for mycosis fungoides and S</w:t>
      </w:r>
      <w:r>
        <w:rPr>
          <w:rFonts w:eastAsia="AdvPS497E2" w:cs="AdvPS497E2"/>
          <w:color w:val="000000"/>
          <w:szCs w:val="24"/>
          <w:lang w:val="en-US"/>
        </w:rPr>
        <w:t>e</w:t>
      </w:r>
      <w:r w:rsidRPr="00013381">
        <w:rPr>
          <w:rFonts w:eastAsia="AdvPS497E2" w:cs="AdvPS497E2"/>
          <w:color w:val="000000"/>
          <w:szCs w:val="24"/>
          <w:lang w:val="en-US"/>
        </w:rPr>
        <w:t>zary syndrome. Dermatol Clin 2015; 33: 807–</w:t>
      </w:r>
      <w:r>
        <w:rPr>
          <w:rFonts w:eastAsia="AdvPS497E2" w:cs="AdvPS497E2"/>
          <w:color w:val="000000"/>
          <w:szCs w:val="24"/>
          <w:lang w:val="en-US"/>
        </w:rPr>
        <w:t>8</w:t>
      </w:r>
      <w:r w:rsidRPr="00013381">
        <w:rPr>
          <w:rFonts w:eastAsia="AdvPS497E2" w:cs="AdvPS497E2"/>
          <w:color w:val="000000"/>
          <w:szCs w:val="24"/>
          <w:lang w:val="en-US"/>
        </w:rPr>
        <w:t>18.</w:t>
      </w:r>
    </w:p>
    <w:p w:rsidR="00A011E7" w:rsidRPr="008E14E1" w:rsidRDefault="00A011E7" w:rsidP="003F054F">
      <w:pPr>
        <w:pStyle w:val="afd"/>
        <w:numPr>
          <w:ilvl w:val="0"/>
          <w:numId w:val="28"/>
        </w:numPr>
        <w:ind w:hanging="720"/>
        <w:rPr>
          <w:szCs w:val="24"/>
          <w:lang w:val="en-US"/>
        </w:rPr>
      </w:pPr>
      <w:r w:rsidRPr="00013381">
        <w:rPr>
          <w:rFonts w:eastAsia="AdvPS497E2" w:cs="AdvPS497E2"/>
          <w:color w:val="000000"/>
          <w:szCs w:val="24"/>
          <w:lang w:val="en-US"/>
        </w:rPr>
        <w:t>Lechowicz M.J., Lazarus H.M., Carreras J. et al. Allogeneic hematopoietic cell transplantation for mycosis fungoides and Sezary syndrome. Bone Marrow Transplant 2014; 49 (11): 1360–</w:t>
      </w:r>
      <w:r>
        <w:rPr>
          <w:rFonts w:eastAsia="AdvPS497E2" w:cs="AdvPS497E2"/>
          <w:color w:val="000000"/>
          <w:szCs w:val="24"/>
          <w:lang w:val="en-US"/>
        </w:rPr>
        <w:t>136</w:t>
      </w:r>
      <w:r w:rsidRPr="00013381">
        <w:rPr>
          <w:rFonts w:eastAsia="AdvPS497E2" w:cs="AdvPS497E2"/>
          <w:color w:val="000000"/>
          <w:szCs w:val="24"/>
          <w:lang w:val="en-US"/>
        </w:rPr>
        <w:t>5.</w:t>
      </w:r>
    </w:p>
    <w:p w:rsidR="00B81618" w:rsidRDefault="00B81618" w:rsidP="003F054F">
      <w:pPr>
        <w:pStyle w:val="afd"/>
        <w:numPr>
          <w:ilvl w:val="0"/>
          <w:numId w:val="28"/>
        </w:numPr>
        <w:ind w:hanging="720"/>
        <w:rPr>
          <w:szCs w:val="24"/>
          <w:lang w:val="en-US"/>
        </w:rPr>
      </w:pPr>
      <w:r>
        <w:rPr>
          <w:lang w:val="en-US"/>
        </w:rPr>
        <w:t xml:space="preserve">Serrano L., </w:t>
      </w:r>
      <w:r w:rsidRPr="00BA5FA4">
        <w:rPr>
          <w:lang w:val="en-US" w:bidi="hi-IN"/>
        </w:rPr>
        <w:t>Martinez-Escala</w:t>
      </w:r>
      <w:r>
        <w:rPr>
          <w:lang w:val="en-US"/>
        </w:rPr>
        <w:t xml:space="preserve"> M.E., </w:t>
      </w:r>
      <w:r w:rsidRPr="00BA5FA4">
        <w:rPr>
          <w:lang w:val="en-US" w:bidi="hi-IN"/>
        </w:rPr>
        <w:t>Zhou</w:t>
      </w:r>
      <w:r>
        <w:rPr>
          <w:lang w:val="en-US"/>
        </w:rPr>
        <w:t xml:space="preserve"> </w:t>
      </w:r>
      <w:r w:rsidRPr="00BA5FA4">
        <w:rPr>
          <w:lang w:val="en-US" w:bidi="hi-IN"/>
        </w:rPr>
        <w:t>X</w:t>
      </w:r>
      <w:r>
        <w:rPr>
          <w:lang w:val="en-US"/>
        </w:rPr>
        <w:t>.</w:t>
      </w:r>
      <w:r w:rsidRPr="00BA5FA4">
        <w:rPr>
          <w:lang w:val="en-US" w:bidi="hi-IN"/>
        </w:rPr>
        <w:t>A.</w:t>
      </w:r>
      <w:r>
        <w:rPr>
          <w:lang w:val="en-US"/>
        </w:rPr>
        <w:t xml:space="preserve">, </w:t>
      </w:r>
      <w:r w:rsidRPr="00BA5FA4">
        <w:rPr>
          <w:lang w:val="en-US" w:bidi="hi-IN"/>
        </w:rPr>
        <w:t>Guitart</w:t>
      </w:r>
      <w:r>
        <w:rPr>
          <w:lang w:val="en-US"/>
        </w:rPr>
        <w:t xml:space="preserve"> J.</w:t>
      </w:r>
      <w:r w:rsidRPr="00BA5FA4">
        <w:rPr>
          <w:lang w:val="en-US" w:bidi="hi-IN"/>
        </w:rPr>
        <w:t xml:space="preserve"> </w:t>
      </w:r>
      <w:r w:rsidRPr="00013381">
        <w:rPr>
          <w:lang w:val="en-US" w:bidi="hi-IN"/>
        </w:rPr>
        <w:t xml:space="preserve">Pruritus in </w:t>
      </w:r>
      <w:r>
        <w:rPr>
          <w:lang w:val="en-US"/>
        </w:rPr>
        <w:t>c</w:t>
      </w:r>
      <w:r w:rsidRPr="00013381">
        <w:rPr>
          <w:lang w:val="en-US" w:bidi="hi-IN"/>
        </w:rPr>
        <w:t>utaneous</w:t>
      </w:r>
      <w:r>
        <w:rPr>
          <w:lang w:val="en-US"/>
        </w:rPr>
        <w:t xml:space="preserve"> T-cell l</w:t>
      </w:r>
      <w:r w:rsidRPr="00013381">
        <w:rPr>
          <w:lang w:val="en-US" w:bidi="hi-IN"/>
        </w:rPr>
        <w:t>ymphoma and</w:t>
      </w:r>
      <w:r>
        <w:rPr>
          <w:lang w:val="en-US"/>
        </w:rPr>
        <w:t xml:space="preserve"> i</w:t>
      </w:r>
      <w:r w:rsidRPr="00013381">
        <w:rPr>
          <w:lang w:val="en-US" w:bidi="hi-IN"/>
        </w:rPr>
        <w:t xml:space="preserve">ts </w:t>
      </w:r>
      <w:r>
        <w:rPr>
          <w:lang w:val="en-US"/>
        </w:rPr>
        <w:t>m</w:t>
      </w:r>
      <w:r w:rsidRPr="00013381">
        <w:rPr>
          <w:lang w:val="en-US" w:bidi="hi-IN"/>
        </w:rPr>
        <w:t>anagement</w:t>
      </w:r>
      <w:r>
        <w:rPr>
          <w:lang w:val="en-US"/>
        </w:rPr>
        <w:t>.</w:t>
      </w:r>
      <w:r w:rsidRPr="00BA5FA4">
        <w:rPr>
          <w:rFonts w:ascii="AdvPSA334" w:eastAsia="Times New Roman" w:hAnsi="AdvPSA334" w:cs="AdvPSA334"/>
          <w:sz w:val="16"/>
          <w:szCs w:val="16"/>
          <w:lang w:val="en-US" w:eastAsia="ru-RU"/>
        </w:rPr>
        <w:t xml:space="preserve"> </w:t>
      </w:r>
      <w:r w:rsidRPr="00BA5FA4">
        <w:rPr>
          <w:lang w:val="en-US" w:bidi="hi-IN"/>
        </w:rPr>
        <w:t>Dermatol Clin 2018</w:t>
      </w:r>
      <w:r>
        <w:rPr>
          <w:lang w:val="en-US"/>
        </w:rPr>
        <w:t xml:space="preserve">; </w:t>
      </w:r>
      <w:r w:rsidRPr="00BA5FA4">
        <w:rPr>
          <w:lang w:val="en-US" w:bidi="hi-IN"/>
        </w:rPr>
        <w:t>36</w:t>
      </w:r>
      <w:r>
        <w:rPr>
          <w:lang w:val="en-US"/>
        </w:rPr>
        <w:t>:</w:t>
      </w:r>
      <w:r w:rsidRPr="00BA5FA4">
        <w:rPr>
          <w:lang w:val="en-US" w:bidi="hi-IN"/>
        </w:rPr>
        <w:t xml:space="preserve"> 245–258</w:t>
      </w:r>
      <w:r>
        <w:rPr>
          <w:lang w:val="en-US"/>
        </w:rPr>
        <w:t>.</w:t>
      </w:r>
    </w:p>
    <w:p w:rsidR="003F054F" w:rsidRPr="00FB5F9C" w:rsidRDefault="003F054F" w:rsidP="003F054F">
      <w:pPr>
        <w:pStyle w:val="afd"/>
        <w:numPr>
          <w:ilvl w:val="0"/>
          <w:numId w:val="28"/>
        </w:numPr>
        <w:ind w:hanging="720"/>
        <w:rPr>
          <w:szCs w:val="24"/>
          <w:lang w:val="en-US"/>
        </w:rPr>
      </w:pPr>
      <w:r w:rsidRPr="008E14E1">
        <w:rPr>
          <w:szCs w:val="24"/>
          <w:lang w:val="en-US"/>
        </w:rPr>
        <w:t>Schulz S., Metz M., Siepmann D. et al. Antipruritische Wirksamkeit einer hoch dosierten Antihistaminikatherapie. Hautarzt 2009; 60: 564–568.</w:t>
      </w:r>
    </w:p>
    <w:p w:rsidR="003F054F" w:rsidRPr="003D5FFC" w:rsidRDefault="003F054F" w:rsidP="003F054F">
      <w:pPr>
        <w:pStyle w:val="afd"/>
        <w:numPr>
          <w:ilvl w:val="0"/>
          <w:numId w:val="28"/>
        </w:numPr>
        <w:ind w:hanging="720"/>
        <w:rPr>
          <w:szCs w:val="24"/>
          <w:lang w:val="en-US"/>
        </w:rPr>
      </w:pPr>
      <w:r w:rsidRPr="008E14E1">
        <w:rPr>
          <w:szCs w:val="24"/>
          <w:lang w:val="en-US"/>
        </w:rPr>
        <w:t xml:space="preserve">Weisshaar E., Szepietowski J.C., Dalgard F.J. et al. </w:t>
      </w:r>
      <w:r w:rsidRPr="008E14E1">
        <w:rPr>
          <w:bCs/>
          <w:szCs w:val="24"/>
          <w:lang w:val="en-US"/>
        </w:rPr>
        <w:t>European S2k guideline on chronic pruritus.</w:t>
      </w:r>
      <w:r w:rsidRPr="008E14E1">
        <w:rPr>
          <w:szCs w:val="24"/>
          <w:lang w:val="en-US"/>
        </w:rPr>
        <w:t xml:space="preserve"> Acta Derm Venereol. 2019; 99 (5): 469–506.</w:t>
      </w:r>
    </w:p>
    <w:p w:rsidR="001874C8" w:rsidRPr="00095341" w:rsidRDefault="003F054F" w:rsidP="00B81618">
      <w:pPr>
        <w:pStyle w:val="afd"/>
        <w:numPr>
          <w:ilvl w:val="0"/>
          <w:numId w:val="28"/>
        </w:numPr>
        <w:tabs>
          <w:tab w:val="left" w:pos="709"/>
        </w:tabs>
        <w:ind w:left="709" w:hanging="709"/>
        <w:rPr>
          <w:szCs w:val="24"/>
        </w:rPr>
      </w:pPr>
      <w:r w:rsidRPr="00B81618">
        <w:rPr>
          <w:rFonts w:eastAsia="Times New Roman"/>
          <w:bCs/>
          <w:szCs w:val="24"/>
          <w:lang w:eastAsia="ru-RU"/>
        </w:rPr>
        <w:t>Левченко О.К</w:t>
      </w:r>
      <w:r w:rsidRPr="00B81618">
        <w:rPr>
          <w:rFonts w:eastAsia="Times New Roman"/>
          <w:b/>
          <w:bCs/>
          <w:szCs w:val="24"/>
          <w:lang w:eastAsia="ru-RU"/>
        </w:rPr>
        <w:t xml:space="preserve">. </w:t>
      </w:r>
      <w:r w:rsidRPr="00B81618">
        <w:rPr>
          <w:rFonts w:eastAsia="Times New Roman"/>
          <w:szCs w:val="24"/>
          <w:lang w:eastAsia="ru-RU"/>
        </w:rPr>
        <w:t>Опыт оказания противоболевой помощи в гематологическом стационаре. Российский журнал боли. 2019; 17 (1): 47–50.</w:t>
      </w:r>
    </w:p>
    <w:p w:rsidR="00A1540A" w:rsidRPr="00A1540A" w:rsidRDefault="00A1540A" w:rsidP="00B81618">
      <w:pPr>
        <w:pStyle w:val="afd"/>
        <w:numPr>
          <w:ilvl w:val="0"/>
          <w:numId w:val="28"/>
        </w:numPr>
        <w:tabs>
          <w:tab w:val="left" w:pos="709"/>
        </w:tabs>
        <w:ind w:left="709" w:hanging="709"/>
        <w:rPr>
          <w:szCs w:val="24"/>
        </w:rPr>
      </w:pPr>
      <w:r w:rsidRPr="0057361B">
        <w:rPr>
          <w:rFonts w:eastAsiaTheme="minorEastAsia"/>
          <w:bCs/>
          <w:kern w:val="24"/>
          <w:szCs w:val="24"/>
          <w:lang w:eastAsia="ru-RU"/>
        </w:rPr>
        <w:t>Абузарова Г.Р.</w:t>
      </w:r>
      <w:r>
        <w:rPr>
          <w:rFonts w:eastAsiaTheme="minorEastAsia"/>
          <w:bCs/>
          <w:kern w:val="24"/>
          <w:szCs w:val="24"/>
          <w:lang w:eastAsia="ru-RU"/>
        </w:rPr>
        <w:t>,</w:t>
      </w:r>
      <w:r w:rsidRPr="0057361B">
        <w:rPr>
          <w:rFonts w:eastAsiaTheme="minorEastAsia"/>
          <w:bCs/>
          <w:kern w:val="24"/>
          <w:szCs w:val="24"/>
          <w:lang w:eastAsia="ru-RU"/>
        </w:rPr>
        <w:t xml:space="preserve"> </w:t>
      </w:r>
      <w:r w:rsidRPr="00D56DA9">
        <w:rPr>
          <w:rFonts w:eastAsiaTheme="minorEastAsia"/>
          <w:bCs/>
          <w:kern w:val="24"/>
          <w:szCs w:val="24"/>
          <w:lang w:eastAsia="ru-RU"/>
        </w:rPr>
        <w:t>Невзорова Д.В., Кумирова Э.В</w:t>
      </w:r>
      <w:r>
        <w:rPr>
          <w:rFonts w:eastAsiaTheme="minorEastAsia"/>
          <w:bCs/>
          <w:kern w:val="24"/>
          <w:szCs w:val="24"/>
          <w:lang w:eastAsia="ru-RU"/>
        </w:rPr>
        <w:t>.</w:t>
      </w:r>
      <w:r w:rsidRPr="00D56DA9">
        <w:rPr>
          <w:rFonts w:eastAsiaTheme="minorEastAsia"/>
          <w:bCs/>
          <w:kern w:val="24"/>
          <w:szCs w:val="24"/>
          <w:lang w:eastAsia="ru-RU"/>
        </w:rPr>
        <w:t xml:space="preserve"> </w:t>
      </w:r>
      <w:r w:rsidRPr="0057361B">
        <w:rPr>
          <w:rFonts w:eastAsiaTheme="minorEastAsia"/>
          <w:bCs/>
          <w:kern w:val="24"/>
          <w:szCs w:val="24"/>
          <w:lang w:eastAsia="ru-RU"/>
        </w:rPr>
        <w:t xml:space="preserve">и </w:t>
      </w:r>
      <w:r>
        <w:rPr>
          <w:rFonts w:eastAsiaTheme="minorEastAsia"/>
          <w:bCs/>
          <w:kern w:val="24"/>
          <w:szCs w:val="24"/>
          <w:lang w:eastAsia="ru-RU"/>
        </w:rPr>
        <w:t xml:space="preserve">др. </w:t>
      </w:r>
      <w:r w:rsidRPr="0057361B">
        <w:rPr>
          <w:rFonts w:eastAsiaTheme="minorEastAsia"/>
          <w:bCs/>
          <w:kern w:val="24"/>
          <w:szCs w:val="24"/>
          <w:lang w:eastAsia="ru-RU"/>
        </w:rPr>
        <w:t xml:space="preserve">Обезболивание  взрослых и детей при </w:t>
      </w:r>
      <w:r>
        <w:rPr>
          <w:rFonts w:eastAsiaTheme="minorEastAsia"/>
          <w:bCs/>
          <w:kern w:val="24"/>
          <w:szCs w:val="24"/>
          <w:lang w:eastAsia="ru-RU"/>
        </w:rPr>
        <w:t>оказании медицинской помощи</w:t>
      </w:r>
      <w:r w:rsidRPr="0057361B">
        <w:rPr>
          <w:rFonts w:eastAsiaTheme="minorEastAsia"/>
          <w:bCs/>
          <w:kern w:val="24"/>
          <w:szCs w:val="24"/>
          <w:lang w:eastAsia="ru-RU"/>
        </w:rPr>
        <w:t>.</w:t>
      </w:r>
      <w:r>
        <w:rPr>
          <w:rFonts w:eastAsiaTheme="minorEastAsia"/>
          <w:bCs/>
          <w:kern w:val="24"/>
          <w:szCs w:val="24"/>
          <w:lang w:eastAsia="ru-RU"/>
        </w:rPr>
        <w:t xml:space="preserve"> </w:t>
      </w:r>
      <w:r w:rsidRPr="0057361B">
        <w:rPr>
          <w:rFonts w:eastAsiaTheme="minorEastAsia"/>
          <w:bCs/>
          <w:kern w:val="24"/>
          <w:szCs w:val="24"/>
          <w:lang w:eastAsia="ru-RU"/>
        </w:rPr>
        <w:t>Методические рекомендации</w:t>
      </w:r>
      <w:r>
        <w:rPr>
          <w:rFonts w:eastAsiaTheme="minorEastAsia"/>
          <w:bCs/>
          <w:kern w:val="24"/>
          <w:szCs w:val="24"/>
          <w:lang w:eastAsia="ru-RU"/>
        </w:rPr>
        <w:t xml:space="preserve">. </w:t>
      </w:r>
      <w:r w:rsidRPr="0057361B">
        <w:rPr>
          <w:rFonts w:eastAsiaTheme="minorEastAsia"/>
          <w:bCs/>
          <w:kern w:val="24"/>
          <w:szCs w:val="24"/>
          <w:lang w:eastAsia="ru-RU"/>
        </w:rPr>
        <w:t>ФГБОУ ВО РНИМУ им.</w:t>
      </w:r>
      <w:r>
        <w:rPr>
          <w:rFonts w:eastAsiaTheme="minorEastAsia"/>
          <w:bCs/>
          <w:kern w:val="24"/>
          <w:szCs w:val="24"/>
          <w:lang w:eastAsia="ru-RU"/>
        </w:rPr>
        <w:t xml:space="preserve"> </w:t>
      </w:r>
      <w:r w:rsidRPr="0057361B">
        <w:rPr>
          <w:rFonts w:eastAsiaTheme="minorEastAsia"/>
          <w:bCs/>
          <w:kern w:val="24"/>
          <w:szCs w:val="24"/>
          <w:lang w:eastAsia="ru-RU"/>
        </w:rPr>
        <w:t>Н.И.Пирогова М</w:t>
      </w:r>
      <w:r>
        <w:rPr>
          <w:rFonts w:eastAsiaTheme="minorEastAsia"/>
          <w:bCs/>
          <w:kern w:val="24"/>
          <w:szCs w:val="24"/>
          <w:lang w:eastAsia="ru-RU"/>
        </w:rPr>
        <w:t>инздрава России, Москва</w:t>
      </w:r>
      <w:r w:rsidRPr="0057361B">
        <w:rPr>
          <w:rFonts w:eastAsiaTheme="minorEastAsia"/>
          <w:bCs/>
          <w:kern w:val="24"/>
          <w:szCs w:val="24"/>
          <w:lang w:eastAsia="ru-RU"/>
        </w:rPr>
        <w:t>,</w:t>
      </w:r>
      <w:r>
        <w:rPr>
          <w:rFonts w:eastAsiaTheme="minorEastAsia"/>
          <w:bCs/>
          <w:kern w:val="24"/>
          <w:szCs w:val="24"/>
          <w:lang w:eastAsia="ru-RU"/>
        </w:rPr>
        <w:t xml:space="preserve"> </w:t>
      </w:r>
      <w:r w:rsidRPr="0057361B">
        <w:rPr>
          <w:rFonts w:eastAsiaTheme="minorEastAsia"/>
          <w:bCs/>
          <w:kern w:val="24"/>
          <w:szCs w:val="24"/>
          <w:lang w:eastAsia="ru-RU"/>
        </w:rPr>
        <w:t>2016,</w:t>
      </w:r>
      <w:r>
        <w:rPr>
          <w:rFonts w:eastAsiaTheme="minorEastAsia"/>
          <w:bCs/>
          <w:kern w:val="24"/>
          <w:szCs w:val="24"/>
          <w:lang w:eastAsia="ru-RU"/>
        </w:rPr>
        <w:t xml:space="preserve"> 94 с.</w:t>
      </w:r>
    </w:p>
    <w:p w:rsidR="00A1540A" w:rsidRPr="00495193" w:rsidRDefault="00A1540A" w:rsidP="00B81618">
      <w:pPr>
        <w:pStyle w:val="afd"/>
        <w:numPr>
          <w:ilvl w:val="0"/>
          <w:numId w:val="28"/>
        </w:numPr>
        <w:tabs>
          <w:tab w:val="left" w:pos="709"/>
        </w:tabs>
        <w:ind w:left="709" w:hanging="709"/>
        <w:rPr>
          <w:szCs w:val="24"/>
        </w:rPr>
      </w:pPr>
      <w:r w:rsidRPr="0057361B">
        <w:rPr>
          <w:rFonts w:eastAsiaTheme="minorEastAsia"/>
          <w:bCs/>
          <w:kern w:val="24"/>
          <w:szCs w:val="24"/>
          <w:lang w:eastAsia="ru-RU"/>
        </w:rPr>
        <w:t>Абузарова</w:t>
      </w:r>
      <w:r>
        <w:rPr>
          <w:rFonts w:eastAsiaTheme="minorEastAsia"/>
          <w:bCs/>
          <w:kern w:val="24"/>
          <w:szCs w:val="24"/>
          <w:lang w:eastAsia="ru-RU"/>
        </w:rPr>
        <w:t xml:space="preserve"> </w:t>
      </w:r>
      <w:r w:rsidRPr="0057361B">
        <w:rPr>
          <w:rFonts w:eastAsiaTheme="minorEastAsia"/>
          <w:bCs/>
          <w:kern w:val="24"/>
          <w:szCs w:val="24"/>
          <w:lang w:eastAsia="ru-RU"/>
        </w:rPr>
        <w:t>Г.Р.</w:t>
      </w:r>
      <w:r>
        <w:rPr>
          <w:rFonts w:eastAsiaTheme="minorEastAsia"/>
          <w:bCs/>
          <w:kern w:val="24"/>
          <w:szCs w:val="24"/>
          <w:lang w:eastAsia="ru-RU"/>
        </w:rPr>
        <w:t xml:space="preserve"> </w:t>
      </w:r>
      <w:r w:rsidRPr="0057361B">
        <w:rPr>
          <w:rFonts w:eastAsiaTheme="minorEastAsia"/>
          <w:bCs/>
          <w:kern w:val="24"/>
          <w:szCs w:val="24"/>
          <w:lang w:eastAsia="ru-RU"/>
        </w:rPr>
        <w:t>и</w:t>
      </w:r>
      <w:r>
        <w:rPr>
          <w:rFonts w:eastAsiaTheme="minorEastAsia"/>
          <w:bCs/>
          <w:kern w:val="24"/>
          <w:szCs w:val="24"/>
          <w:lang w:eastAsia="ru-RU"/>
        </w:rPr>
        <w:t xml:space="preserve"> </w:t>
      </w:r>
      <w:r w:rsidRPr="0057361B">
        <w:rPr>
          <w:rFonts w:eastAsiaTheme="minorEastAsia"/>
          <w:bCs/>
          <w:kern w:val="24"/>
          <w:szCs w:val="24"/>
          <w:lang w:eastAsia="ru-RU"/>
        </w:rPr>
        <w:t>др.</w:t>
      </w:r>
      <w:r>
        <w:rPr>
          <w:rFonts w:eastAsiaTheme="minorEastAsia"/>
          <w:bCs/>
          <w:kern w:val="24"/>
          <w:szCs w:val="24"/>
          <w:lang w:eastAsia="ru-RU"/>
        </w:rPr>
        <w:t xml:space="preserve"> </w:t>
      </w:r>
      <w:r w:rsidRPr="0057361B">
        <w:rPr>
          <w:rFonts w:eastAsiaTheme="minorEastAsia"/>
          <w:bCs/>
          <w:kern w:val="24"/>
          <w:szCs w:val="24"/>
          <w:lang w:eastAsia="ru-RU"/>
        </w:rPr>
        <w:t>Лечение болевого синдрома у онкологических больных</w:t>
      </w:r>
      <w:r>
        <w:rPr>
          <w:rFonts w:eastAsiaTheme="minorEastAsia"/>
          <w:bCs/>
          <w:kern w:val="24"/>
          <w:szCs w:val="24"/>
          <w:lang w:eastAsia="ru-RU"/>
        </w:rPr>
        <w:t xml:space="preserve">. </w:t>
      </w:r>
      <w:r w:rsidRPr="0057361B">
        <w:rPr>
          <w:rFonts w:eastAsiaTheme="minorEastAsia"/>
          <w:bCs/>
          <w:kern w:val="24"/>
          <w:szCs w:val="24"/>
          <w:lang w:eastAsia="ru-RU"/>
        </w:rPr>
        <w:t>Российские клинические рекомендации по диагностике и лечению злокачественны лимфопролиферативных</w:t>
      </w:r>
      <w:r>
        <w:rPr>
          <w:rFonts w:eastAsiaTheme="minorEastAsia"/>
          <w:bCs/>
          <w:kern w:val="24"/>
          <w:szCs w:val="24"/>
          <w:lang w:eastAsia="ru-RU"/>
        </w:rPr>
        <w:t xml:space="preserve"> </w:t>
      </w:r>
      <w:r w:rsidRPr="0057361B">
        <w:rPr>
          <w:rFonts w:eastAsiaTheme="minorEastAsia"/>
          <w:bCs/>
          <w:kern w:val="24"/>
          <w:szCs w:val="24"/>
          <w:lang w:eastAsia="ru-RU"/>
        </w:rPr>
        <w:t>заболеван</w:t>
      </w:r>
      <w:r>
        <w:rPr>
          <w:rFonts w:eastAsiaTheme="minorEastAsia"/>
          <w:bCs/>
          <w:kern w:val="24"/>
          <w:szCs w:val="24"/>
          <w:lang w:eastAsia="ru-RU"/>
        </w:rPr>
        <w:t>ий</w:t>
      </w:r>
      <w:r w:rsidRPr="0057361B">
        <w:rPr>
          <w:rFonts w:eastAsiaTheme="minorEastAsia"/>
          <w:bCs/>
          <w:kern w:val="24"/>
          <w:szCs w:val="24"/>
          <w:lang w:eastAsia="ru-RU"/>
        </w:rPr>
        <w:t>.</w:t>
      </w:r>
      <w:r>
        <w:rPr>
          <w:rFonts w:eastAsiaTheme="minorEastAsia"/>
          <w:bCs/>
          <w:kern w:val="24"/>
          <w:szCs w:val="24"/>
          <w:lang w:eastAsia="ru-RU"/>
        </w:rPr>
        <w:t xml:space="preserve"> </w:t>
      </w:r>
      <w:r w:rsidRPr="0057361B">
        <w:rPr>
          <w:rFonts w:eastAsiaTheme="minorEastAsia"/>
          <w:bCs/>
          <w:kern w:val="24"/>
          <w:szCs w:val="24"/>
          <w:lang w:eastAsia="ru-RU"/>
        </w:rPr>
        <w:t>Под редакцией И.В</w:t>
      </w:r>
      <w:r>
        <w:rPr>
          <w:rFonts w:eastAsiaTheme="minorEastAsia"/>
          <w:bCs/>
          <w:kern w:val="24"/>
          <w:szCs w:val="24"/>
          <w:lang w:eastAsia="ru-RU"/>
        </w:rPr>
        <w:t xml:space="preserve"> </w:t>
      </w:r>
      <w:r w:rsidRPr="0057361B">
        <w:rPr>
          <w:rFonts w:eastAsiaTheme="minorEastAsia"/>
          <w:bCs/>
          <w:kern w:val="24"/>
          <w:szCs w:val="24"/>
          <w:lang w:eastAsia="ru-RU"/>
        </w:rPr>
        <w:t>Поддубной,</w:t>
      </w:r>
      <w:r>
        <w:rPr>
          <w:rFonts w:eastAsiaTheme="minorEastAsia"/>
          <w:bCs/>
          <w:kern w:val="24"/>
          <w:szCs w:val="24"/>
          <w:lang w:eastAsia="ru-RU"/>
        </w:rPr>
        <w:t xml:space="preserve"> </w:t>
      </w:r>
      <w:r w:rsidRPr="0057361B">
        <w:rPr>
          <w:rFonts w:eastAsiaTheme="minorEastAsia"/>
          <w:bCs/>
          <w:kern w:val="24"/>
          <w:szCs w:val="24"/>
          <w:lang w:eastAsia="ru-RU"/>
        </w:rPr>
        <w:t>В</w:t>
      </w:r>
      <w:r>
        <w:rPr>
          <w:rFonts w:eastAsiaTheme="minorEastAsia"/>
          <w:bCs/>
          <w:kern w:val="24"/>
          <w:szCs w:val="24"/>
          <w:lang w:eastAsia="ru-RU"/>
        </w:rPr>
        <w:t>.</w:t>
      </w:r>
      <w:r w:rsidRPr="0057361B">
        <w:rPr>
          <w:rFonts w:eastAsiaTheme="minorEastAsia"/>
          <w:bCs/>
          <w:kern w:val="24"/>
          <w:szCs w:val="24"/>
          <w:lang w:eastAsia="ru-RU"/>
        </w:rPr>
        <w:t>Г.</w:t>
      </w:r>
      <w:r>
        <w:rPr>
          <w:rFonts w:eastAsiaTheme="minorEastAsia"/>
          <w:bCs/>
          <w:kern w:val="24"/>
          <w:szCs w:val="24"/>
          <w:lang w:eastAsia="ru-RU"/>
        </w:rPr>
        <w:t xml:space="preserve"> </w:t>
      </w:r>
      <w:r w:rsidRPr="0057361B">
        <w:rPr>
          <w:rFonts w:eastAsiaTheme="minorEastAsia"/>
          <w:bCs/>
          <w:kern w:val="24"/>
          <w:szCs w:val="24"/>
          <w:lang w:eastAsia="ru-RU"/>
        </w:rPr>
        <w:t>Савченко,</w:t>
      </w:r>
      <w:r>
        <w:rPr>
          <w:rFonts w:eastAsiaTheme="minorEastAsia"/>
          <w:bCs/>
          <w:kern w:val="24"/>
          <w:szCs w:val="24"/>
          <w:lang w:eastAsia="ru-RU"/>
        </w:rPr>
        <w:t xml:space="preserve"> </w:t>
      </w:r>
      <w:r w:rsidRPr="0057361B">
        <w:rPr>
          <w:rFonts w:eastAsiaTheme="minorEastAsia"/>
          <w:bCs/>
          <w:kern w:val="24"/>
          <w:szCs w:val="24"/>
          <w:lang w:eastAsia="ru-RU"/>
        </w:rPr>
        <w:t>2018,</w:t>
      </w:r>
      <w:r>
        <w:rPr>
          <w:rFonts w:eastAsiaTheme="minorEastAsia"/>
          <w:bCs/>
          <w:kern w:val="24"/>
          <w:szCs w:val="24"/>
          <w:lang w:eastAsia="ru-RU"/>
        </w:rPr>
        <w:t xml:space="preserve"> С.</w:t>
      </w:r>
      <w:r w:rsidRPr="0057361B">
        <w:rPr>
          <w:rFonts w:eastAsiaTheme="minorEastAsia"/>
          <w:bCs/>
          <w:kern w:val="24"/>
          <w:szCs w:val="24"/>
          <w:lang w:eastAsia="ru-RU"/>
        </w:rPr>
        <w:t>278</w:t>
      </w:r>
      <w:r w:rsidRPr="00B81618">
        <w:rPr>
          <w:rFonts w:eastAsia="Times New Roman"/>
          <w:szCs w:val="24"/>
          <w:lang w:eastAsia="ru-RU"/>
        </w:rPr>
        <w:t>–</w:t>
      </w:r>
      <w:r w:rsidRPr="0057361B">
        <w:rPr>
          <w:rFonts w:eastAsiaTheme="minorEastAsia"/>
          <w:bCs/>
          <w:kern w:val="24"/>
          <w:szCs w:val="24"/>
          <w:lang w:eastAsia="ru-RU"/>
        </w:rPr>
        <w:t>288.</w:t>
      </w:r>
    </w:p>
    <w:p w:rsidR="00495193" w:rsidRDefault="00DE7BBA" w:rsidP="00B81618">
      <w:pPr>
        <w:pStyle w:val="afd"/>
        <w:numPr>
          <w:ilvl w:val="0"/>
          <w:numId w:val="28"/>
        </w:numPr>
        <w:tabs>
          <w:tab w:val="left" w:pos="709"/>
        </w:tabs>
        <w:ind w:left="709" w:hanging="709"/>
        <w:rPr>
          <w:szCs w:val="24"/>
        </w:rPr>
      </w:pPr>
      <w:r w:rsidRPr="00DE7BBA">
        <w:rPr>
          <w:szCs w:val="24"/>
          <w:lang w:val="en-US"/>
        </w:rPr>
        <w:t xml:space="preserve">Paul K.L. Rehabilitation and exercise considerations in hematologic malignancies. // Am. J. Phys. Med. </w:t>
      </w:r>
      <w:r w:rsidR="00495193" w:rsidRPr="00495193">
        <w:rPr>
          <w:szCs w:val="24"/>
        </w:rPr>
        <w:t>Rehabil. 2011. Vol. 90, № 5 Suppl 1. P. S88-94.</w:t>
      </w:r>
    </w:p>
    <w:p w:rsidR="006D29B6" w:rsidRPr="007D49C0" w:rsidRDefault="006D29B6" w:rsidP="00B81618">
      <w:pPr>
        <w:pStyle w:val="afd"/>
        <w:numPr>
          <w:ilvl w:val="0"/>
          <w:numId w:val="28"/>
        </w:numPr>
        <w:tabs>
          <w:tab w:val="left" w:pos="709"/>
        </w:tabs>
        <w:ind w:left="709" w:hanging="709"/>
        <w:rPr>
          <w:szCs w:val="24"/>
        </w:rPr>
      </w:pPr>
      <w:proofErr w:type="spellStart"/>
      <w:r w:rsidRPr="007D49C0">
        <w:rPr>
          <w:szCs w:val="24"/>
        </w:rPr>
        <w:t>Горенкова</w:t>
      </w:r>
      <w:proofErr w:type="spellEnd"/>
      <w:r w:rsidRPr="007D49C0">
        <w:rPr>
          <w:szCs w:val="24"/>
        </w:rPr>
        <w:t xml:space="preserve"> Л.Г., </w:t>
      </w:r>
      <w:proofErr w:type="spellStart"/>
      <w:r w:rsidRPr="007D49C0">
        <w:rPr>
          <w:szCs w:val="24"/>
        </w:rPr>
        <w:t>Пенская</w:t>
      </w:r>
      <w:proofErr w:type="spellEnd"/>
      <w:r w:rsidRPr="007D49C0">
        <w:rPr>
          <w:szCs w:val="24"/>
        </w:rPr>
        <w:t xml:space="preserve"> Е.А., Кравченко С.К., Ковригина А.М., Моисеева Т.Н., Воробьев А.И. Лечение резистентных форм грибовидного микоза и синдрома </w:t>
      </w:r>
      <w:proofErr w:type="spellStart"/>
      <w:r w:rsidRPr="007D49C0">
        <w:rPr>
          <w:szCs w:val="24"/>
        </w:rPr>
        <w:t>сезари</w:t>
      </w:r>
      <w:proofErr w:type="spellEnd"/>
      <w:r w:rsidRPr="007D49C0">
        <w:rPr>
          <w:szCs w:val="24"/>
        </w:rPr>
        <w:t xml:space="preserve">. Клиническая </w:t>
      </w:r>
      <w:proofErr w:type="spellStart"/>
      <w:r w:rsidRPr="007D49C0">
        <w:rPr>
          <w:szCs w:val="24"/>
        </w:rPr>
        <w:t>онкогематология</w:t>
      </w:r>
      <w:proofErr w:type="spellEnd"/>
      <w:r w:rsidRPr="007D49C0">
        <w:rPr>
          <w:szCs w:val="24"/>
        </w:rPr>
        <w:t xml:space="preserve">. Фундаментальные исследования и клиническая практика. 2017; 10 </w:t>
      </w:r>
      <w:proofErr w:type="gramStart"/>
      <w:r w:rsidRPr="007D49C0">
        <w:rPr>
          <w:szCs w:val="24"/>
        </w:rPr>
        <w:t xml:space="preserve">( </w:t>
      </w:r>
      <w:proofErr w:type="gramEnd"/>
      <w:r w:rsidRPr="007D49C0">
        <w:rPr>
          <w:szCs w:val="24"/>
        </w:rPr>
        <w:t>3): 366-371</w:t>
      </w:r>
    </w:p>
    <w:p w:rsidR="00AF3168" w:rsidRDefault="00AF3168" w:rsidP="00FB5F9C">
      <w:pPr>
        <w:pStyle w:val="afd"/>
        <w:ind w:firstLine="0"/>
      </w:pPr>
    </w:p>
    <w:p w:rsidR="000B7FCB" w:rsidRDefault="00CB71DA">
      <w:pPr>
        <w:pStyle w:val="afff1"/>
      </w:pPr>
      <w:r>
        <w:br w:type="page"/>
      </w:r>
      <w:bookmarkStart w:id="72" w:name="__RefHeading___doc_a1"/>
      <w:bookmarkStart w:id="73" w:name="_Toc36831364"/>
      <w:bookmarkStart w:id="74" w:name="_Toc34301097"/>
      <w:bookmarkEnd w:id="71"/>
      <w:r>
        <w:lastRenderedPageBreak/>
        <w:t>Приложение А1. Состав рабочей группы</w:t>
      </w:r>
      <w:bookmarkEnd w:id="72"/>
      <w:r w:rsidR="005627B3">
        <w:t xml:space="preserve"> по разработке и пересмотру клинических рекомендаций</w:t>
      </w:r>
      <w:bookmarkEnd w:id="73"/>
      <w:bookmarkEnd w:id="74"/>
    </w:p>
    <w:p w:rsidR="000944EE" w:rsidRDefault="000944EE" w:rsidP="000944EE">
      <w:pPr>
        <w:numPr>
          <w:ilvl w:val="0"/>
          <w:numId w:val="29"/>
        </w:numPr>
        <w:spacing w:before="100" w:beforeAutospacing="1" w:after="100" w:afterAutospacing="1"/>
        <w:ind w:left="709" w:hanging="709"/>
        <w:rPr>
          <w:rFonts w:eastAsia="Times New Roman"/>
        </w:rPr>
      </w:pPr>
      <w:r w:rsidRPr="00035C8D">
        <w:rPr>
          <w:rFonts w:eastAsia="Times New Roman"/>
        </w:rPr>
        <w:t xml:space="preserve">Кубанов Алексей Алексеевич – член-корреспондент РАН, доктор медицинских наук, профессор, Президент Российского общества дерматовенерологов и косметологов. </w:t>
      </w:r>
    </w:p>
    <w:p w:rsidR="000944EE" w:rsidRDefault="000944EE" w:rsidP="000944EE">
      <w:pPr>
        <w:numPr>
          <w:ilvl w:val="0"/>
          <w:numId w:val="29"/>
        </w:numPr>
        <w:spacing w:before="100" w:beforeAutospacing="1" w:after="100" w:afterAutospacing="1"/>
        <w:ind w:left="709" w:hanging="709"/>
        <w:rPr>
          <w:rFonts w:eastAsia="Times New Roman"/>
        </w:rPr>
      </w:pPr>
      <w:r w:rsidRPr="00FE5A71">
        <w:rPr>
          <w:rFonts w:eastAsia="Times New Roman"/>
        </w:rPr>
        <w:t>Поддубная Ирина Владимировна – академик РАН, заслуженны</w:t>
      </w:r>
      <w:r>
        <w:rPr>
          <w:rFonts w:eastAsia="Times New Roman"/>
        </w:rPr>
        <w:t>й деятель образования РФ, доктор медицинских наук, профессор</w:t>
      </w:r>
      <w:r w:rsidRPr="00FE5A71">
        <w:rPr>
          <w:rFonts w:eastAsia="Times New Roman"/>
        </w:rPr>
        <w:t>, председатель Российского общества онкогематологов.</w:t>
      </w:r>
    </w:p>
    <w:p w:rsidR="000944EE" w:rsidRDefault="000944EE" w:rsidP="000944EE">
      <w:pPr>
        <w:numPr>
          <w:ilvl w:val="0"/>
          <w:numId w:val="29"/>
        </w:numPr>
        <w:spacing w:before="100" w:beforeAutospacing="1" w:after="100" w:afterAutospacing="1"/>
        <w:ind w:left="709" w:hanging="709"/>
        <w:rPr>
          <w:rFonts w:eastAsia="Times New Roman"/>
        </w:rPr>
      </w:pPr>
      <w:r w:rsidRPr="00FE5A71">
        <w:rPr>
          <w:rFonts w:eastAsia="Times New Roman"/>
        </w:rPr>
        <w:t>Белоусова Ирена Эдуардовна – доктор медицинских наук, член Российского общества дерматовенерологов и косметологов.</w:t>
      </w:r>
    </w:p>
    <w:p w:rsidR="000944EE" w:rsidRDefault="000944EE" w:rsidP="000944EE">
      <w:pPr>
        <w:numPr>
          <w:ilvl w:val="0"/>
          <w:numId w:val="29"/>
        </w:numPr>
        <w:spacing w:before="100" w:beforeAutospacing="1" w:after="100" w:afterAutospacing="1"/>
        <w:ind w:left="709" w:hanging="709"/>
        <w:rPr>
          <w:rFonts w:eastAsia="Times New Roman"/>
        </w:rPr>
      </w:pPr>
      <w:r w:rsidRPr="00FE5A71">
        <w:rPr>
          <w:rFonts w:eastAsia="Times New Roman"/>
        </w:rPr>
        <w:t>Самцов Алексей Викторович – доктор медицинских наук, профессор, Заслуженный деятель науки РФ, Заслуженный врач РФ, член Российского общества дерматовенерологов и косметологов.</w:t>
      </w:r>
    </w:p>
    <w:p w:rsidR="000944EE" w:rsidRDefault="000944EE" w:rsidP="000944EE">
      <w:pPr>
        <w:numPr>
          <w:ilvl w:val="0"/>
          <w:numId w:val="29"/>
        </w:numPr>
        <w:spacing w:before="100" w:beforeAutospacing="1" w:after="100" w:afterAutospacing="1"/>
        <w:ind w:left="709" w:hanging="709"/>
        <w:rPr>
          <w:rFonts w:eastAsia="Times New Roman"/>
        </w:rPr>
      </w:pPr>
      <w:r w:rsidRPr="00FE5A71">
        <w:rPr>
          <w:rFonts w:eastAsia="Times New Roman"/>
        </w:rPr>
        <w:t>Знаменская Людмила Федоровна – доктор медицинских наук, член Российского общества дерматовенерологов и косметологов.</w:t>
      </w:r>
    </w:p>
    <w:p w:rsidR="000944EE" w:rsidRDefault="000944EE" w:rsidP="000944EE">
      <w:pPr>
        <w:numPr>
          <w:ilvl w:val="0"/>
          <w:numId w:val="29"/>
        </w:numPr>
        <w:spacing w:before="100" w:beforeAutospacing="1" w:after="100" w:afterAutospacing="1"/>
        <w:ind w:left="709" w:hanging="709"/>
        <w:rPr>
          <w:rFonts w:eastAsia="Times New Roman"/>
        </w:rPr>
      </w:pPr>
      <w:r w:rsidRPr="00FE5A71">
        <w:rPr>
          <w:rFonts w:eastAsia="Times New Roman"/>
        </w:rPr>
        <w:t>Чикин Вадим Викторович – доктор медицинских наук,  член Российского общества дерматовенерологов и косметологов</w:t>
      </w:r>
      <w:r w:rsidR="00C05BFA">
        <w:rPr>
          <w:rFonts w:eastAsia="Times New Roman"/>
        </w:rPr>
        <w:t>.</w:t>
      </w:r>
    </w:p>
    <w:p w:rsidR="000944EE" w:rsidRDefault="000944EE" w:rsidP="000944EE">
      <w:pPr>
        <w:numPr>
          <w:ilvl w:val="0"/>
          <w:numId w:val="29"/>
        </w:numPr>
        <w:spacing w:before="100" w:beforeAutospacing="1" w:after="100" w:afterAutospacing="1"/>
        <w:ind w:left="709" w:hanging="709"/>
        <w:rPr>
          <w:rFonts w:eastAsia="Times New Roman"/>
        </w:rPr>
      </w:pPr>
      <w:r w:rsidRPr="00FE5A71">
        <w:rPr>
          <w:rFonts w:eastAsia="Times New Roman"/>
        </w:rPr>
        <w:t>Карамова</w:t>
      </w:r>
      <w:r w:rsidR="001A6D3E">
        <w:rPr>
          <w:rFonts w:eastAsia="Times New Roman"/>
        </w:rPr>
        <w:t xml:space="preserve"> </w:t>
      </w:r>
      <w:r w:rsidRPr="00FE5A71">
        <w:rPr>
          <w:rFonts w:eastAsia="Times New Roman"/>
        </w:rPr>
        <w:t>Арфеня Эдуардовна – кандидат медицинских наук, член Российского общества дерматовенерологов и косметологов. </w:t>
      </w:r>
    </w:p>
    <w:p w:rsidR="000944EE" w:rsidRPr="007D49C0" w:rsidRDefault="000944EE" w:rsidP="000944EE">
      <w:pPr>
        <w:numPr>
          <w:ilvl w:val="0"/>
          <w:numId w:val="29"/>
        </w:numPr>
        <w:spacing w:before="100" w:beforeAutospacing="1" w:after="100" w:afterAutospacing="1"/>
        <w:ind w:left="709" w:hanging="709"/>
        <w:rPr>
          <w:rFonts w:eastAsia="Times New Roman"/>
          <w:color w:val="000000" w:themeColor="text1"/>
        </w:rPr>
      </w:pPr>
      <w:r w:rsidRPr="00FE5A71">
        <w:rPr>
          <w:rFonts w:eastAsia="Times New Roman"/>
        </w:rPr>
        <w:t xml:space="preserve">Кузьмин Алексей Александрович, главный врач КОГКБУЗ «Центр онкологии и </w:t>
      </w:r>
      <w:r w:rsidRPr="007D49C0">
        <w:rPr>
          <w:rFonts w:eastAsia="Times New Roman"/>
          <w:color w:val="000000" w:themeColor="text1"/>
        </w:rPr>
        <w:t xml:space="preserve">медицинской радиологии», </w:t>
      </w:r>
      <w:proofErr w:type="gramStart"/>
      <w:r w:rsidRPr="007D49C0">
        <w:rPr>
          <w:rFonts w:eastAsia="Times New Roman"/>
          <w:color w:val="000000" w:themeColor="text1"/>
        </w:rPr>
        <w:t>г</w:t>
      </w:r>
      <w:proofErr w:type="gramEnd"/>
      <w:r w:rsidRPr="007D49C0">
        <w:rPr>
          <w:rFonts w:eastAsia="Times New Roman"/>
          <w:color w:val="000000" w:themeColor="text1"/>
        </w:rPr>
        <w:t>. Киров.</w:t>
      </w:r>
    </w:p>
    <w:p w:rsidR="000944EE" w:rsidRPr="007D49C0" w:rsidRDefault="000944EE" w:rsidP="000944EE">
      <w:pPr>
        <w:numPr>
          <w:ilvl w:val="0"/>
          <w:numId w:val="29"/>
        </w:numPr>
        <w:spacing w:before="100" w:beforeAutospacing="1" w:after="100" w:afterAutospacing="1"/>
        <w:ind w:left="709" w:hanging="709"/>
        <w:rPr>
          <w:rFonts w:eastAsia="Times New Roman"/>
          <w:color w:val="000000" w:themeColor="text1"/>
        </w:rPr>
      </w:pPr>
      <w:r w:rsidRPr="007D49C0">
        <w:rPr>
          <w:rFonts w:eastAsia="Times New Roman"/>
          <w:color w:val="000000" w:themeColor="text1"/>
        </w:rPr>
        <w:t>Горенкова Лилия Гамилевна – кандидат медицинских наук, общества</w:t>
      </w:r>
      <w:r w:rsidR="00490D13" w:rsidRPr="007D49C0">
        <w:rPr>
          <w:rFonts w:eastAsia="Times New Roman"/>
          <w:color w:val="000000" w:themeColor="text1"/>
        </w:rPr>
        <w:t xml:space="preserve"> </w:t>
      </w:r>
      <w:r w:rsidR="00490D13" w:rsidRPr="007D49C0">
        <w:rPr>
          <w:color w:val="000000" w:themeColor="text1"/>
        </w:rPr>
        <w:t>Ассоциации содействия развитию гематологии и трансплантологии костного мозга "Национальное гематологическое общество".</w:t>
      </w:r>
    </w:p>
    <w:p w:rsidR="000944EE" w:rsidRPr="007D49C0" w:rsidRDefault="000944EE" w:rsidP="000944EE">
      <w:pPr>
        <w:numPr>
          <w:ilvl w:val="0"/>
          <w:numId w:val="29"/>
        </w:numPr>
        <w:spacing w:before="100" w:beforeAutospacing="1" w:after="100" w:afterAutospacing="1"/>
        <w:ind w:left="709" w:hanging="709"/>
        <w:rPr>
          <w:rFonts w:eastAsia="Times New Roman"/>
          <w:color w:val="000000" w:themeColor="text1"/>
        </w:rPr>
      </w:pPr>
      <w:r w:rsidRPr="007D49C0">
        <w:rPr>
          <w:rFonts w:eastAsia="Times New Roman"/>
          <w:color w:val="000000" w:themeColor="text1"/>
        </w:rPr>
        <w:t>Кравченко Сергей Кириллович – кандидат медицинских наук, общества</w:t>
      </w:r>
      <w:r w:rsidR="00490D13" w:rsidRPr="007D49C0">
        <w:rPr>
          <w:rFonts w:eastAsia="Times New Roman"/>
          <w:color w:val="000000" w:themeColor="text1"/>
        </w:rPr>
        <w:t xml:space="preserve"> </w:t>
      </w:r>
      <w:r w:rsidR="00490D13" w:rsidRPr="007D49C0">
        <w:rPr>
          <w:color w:val="000000" w:themeColor="text1"/>
        </w:rPr>
        <w:t>Ассоциации содействия развитию гематологии и трансплантологии костного мозга "Национальное гематологическое общество".</w:t>
      </w:r>
    </w:p>
    <w:p w:rsidR="000944EE" w:rsidRDefault="000944EE" w:rsidP="000944EE">
      <w:pPr>
        <w:numPr>
          <w:ilvl w:val="0"/>
          <w:numId w:val="29"/>
        </w:numPr>
        <w:spacing w:before="100" w:beforeAutospacing="1" w:after="100" w:afterAutospacing="1"/>
        <w:ind w:left="709" w:hanging="709"/>
        <w:rPr>
          <w:rFonts w:eastAsia="Times New Roman"/>
        </w:rPr>
      </w:pPr>
      <w:r w:rsidRPr="007D49C0">
        <w:rPr>
          <w:rFonts w:eastAsia="Times New Roman"/>
          <w:color w:val="000000" w:themeColor="text1"/>
        </w:rPr>
        <w:t>Стефанов Дмитрий Николаевич – научный сотрудник</w:t>
      </w:r>
      <w:r w:rsidRPr="00FE5A71">
        <w:rPr>
          <w:rFonts w:eastAsia="Times New Roman"/>
        </w:rPr>
        <w:t>, зав. научно-организационным отделом, ФГБУ «НМИЦ ДГОИ им. Дмитрия Рогачева» Минздрава России, член Российского общества онкогематологов</w:t>
      </w:r>
      <w:r>
        <w:rPr>
          <w:rFonts w:eastAsia="Times New Roman"/>
        </w:rPr>
        <w:t>.</w:t>
      </w:r>
    </w:p>
    <w:p w:rsidR="00631E95" w:rsidRDefault="00631E95" w:rsidP="000944EE">
      <w:pPr>
        <w:numPr>
          <w:ilvl w:val="0"/>
          <w:numId w:val="29"/>
        </w:numPr>
        <w:spacing w:before="100" w:beforeAutospacing="1" w:after="100" w:afterAutospacing="1"/>
        <w:ind w:left="709" w:hanging="709"/>
        <w:rPr>
          <w:rFonts w:eastAsia="Times New Roman"/>
        </w:rPr>
      </w:pPr>
      <w:r>
        <w:rPr>
          <w:rFonts w:eastAsia="Times New Roman"/>
        </w:rPr>
        <w:t xml:space="preserve">Чернова </w:t>
      </w:r>
      <w:bookmarkStart w:id="75" w:name="_GoBack"/>
      <w:bookmarkEnd w:id="75"/>
      <w:r w:rsidR="00665D58">
        <w:rPr>
          <w:rFonts w:eastAsia="Times New Roman"/>
        </w:rPr>
        <w:t>Наталья Геннад</w:t>
      </w:r>
      <w:r w:rsidR="00B75876">
        <w:rPr>
          <w:rFonts w:eastAsia="Times New Roman"/>
        </w:rPr>
        <w:t>ь</w:t>
      </w:r>
      <w:r w:rsidR="00665D58">
        <w:rPr>
          <w:rFonts w:eastAsia="Times New Roman"/>
        </w:rPr>
        <w:t xml:space="preserve">евна – доктор медицинских наук, заведующий отделением гематологии и химиотерапии ГБУЗ «Московский многопрофильный </w:t>
      </w:r>
      <w:r w:rsidR="00665D58">
        <w:rPr>
          <w:rFonts w:eastAsia="Times New Roman"/>
        </w:rPr>
        <w:lastRenderedPageBreak/>
        <w:t>клинический центр «Коммунарка» ДЗМ»</w:t>
      </w:r>
      <w:r w:rsidR="009E4BEF">
        <w:rPr>
          <w:rFonts w:eastAsia="Times New Roman"/>
        </w:rPr>
        <w:t>,</w:t>
      </w:r>
      <w:r w:rsidR="00882FFE">
        <w:rPr>
          <w:rFonts w:eastAsia="Times New Roman"/>
        </w:rPr>
        <w:t xml:space="preserve"> член Национального гематологического общества.</w:t>
      </w:r>
    </w:p>
    <w:p w:rsidR="00C05BFA" w:rsidRPr="00FE5A71" w:rsidRDefault="00C05BFA" w:rsidP="000944EE">
      <w:pPr>
        <w:numPr>
          <w:ilvl w:val="0"/>
          <w:numId w:val="29"/>
        </w:numPr>
        <w:spacing w:before="100" w:beforeAutospacing="1" w:after="100" w:afterAutospacing="1"/>
        <w:ind w:left="709" w:hanging="709"/>
        <w:rPr>
          <w:rFonts w:eastAsia="Times New Roman"/>
        </w:rPr>
      </w:pPr>
      <w:r>
        <w:rPr>
          <w:rFonts w:eastAsia="Times New Roman"/>
        </w:rPr>
        <w:t xml:space="preserve">Воронцова Анастасия Александровна - </w:t>
      </w:r>
      <w:r w:rsidRPr="00ED7BDE">
        <w:rPr>
          <w:rFonts w:eastAsia="Times New Roman"/>
        </w:rPr>
        <w:t>научный сотрудник</w:t>
      </w:r>
      <w:r w:rsidRPr="00ED7BDE">
        <w:t>, член Российского общества дерматовенерологов и косметологов. </w:t>
      </w:r>
    </w:p>
    <w:p w:rsidR="00AF3168" w:rsidRDefault="00FB5F9C" w:rsidP="00FB5F9C">
      <w:r w:rsidRPr="0031061D">
        <w:rPr>
          <w:b/>
        </w:rPr>
        <w:t>Конфликт интересов:</w:t>
      </w:r>
      <w:r w:rsidR="0081323F" w:rsidRPr="00095341">
        <w:rPr>
          <w:b/>
        </w:rPr>
        <w:t xml:space="preserve"> </w:t>
      </w:r>
      <w:r w:rsidRPr="0014471F">
        <w:rPr>
          <w:szCs w:val="24"/>
        </w:rPr>
        <w:t>Авторы заявляют об отсутствии конфликта интересов.</w:t>
      </w:r>
    </w:p>
    <w:p w:rsidR="00B104EF" w:rsidRDefault="00B104EF" w:rsidP="00AF3168"/>
    <w:p w:rsidR="00B104EF" w:rsidRDefault="00B104EF" w:rsidP="00AF3168"/>
    <w:p w:rsidR="0025228A" w:rsidRDefault="0025228A" w:rsidP="00AF3168"/>
    <w:p w:rsidR="000414F6" w:rsidRDefault="00CB71DA" w:rsidP="00C4630C">
      <w:pPr>
        <w:pStyle w:val="afff1"/>
      </w:pPr>
      <w:r>
        <w:br w:type="page"/>
      </w:r>
      <w:bookmarkStart w:id="76" w:name="__RefHeading___doc_a2"/>
      <w:bookmarkStart w:id="77" w:name="_Toc36831365"/>
      <w:bookmarkStart w:id="78" w:name="_Toc34301098"/>
      <w:r>
        <w:lastRenderedPageBreak/>
        <w:t>Приложение А2. Методология разработки клинических рекомендаций</w:t>
      </w:r>
      <w:bookmarkEnd w:id="76"/>
      <w:bookmarkEnd w:id="77"/>
      <w:bookmarkEnd w:id="78"/>
    </w:p>
    <w:p w:rsidR="00275A41" w:rsidRDefault="00CB71DA" w:rsidP="00F756F0">
      <w:pPr>
        <w:pStyle w:val="aff7"/>
        <w:divId w:val="1333020968"/>
      </w:pPr>
      <w:r>
        <w:rPr>
          <w:rStyle w:val="affa"/>
          <w:u w:val="single"/>
        </w:rPr>
        <w:t>Целевая аудитория данных клинических рекомендаций:</w:t>
      </w:r>
    </w:p>
    <w:p w:rsidR="00FB5F9C" w:rsidRDefault="00FB5F9C" w:rsidP="00FB5F9C">
      <w:pPr>
        <w:pStyle w:val="aff7"/>
        <w:divId w:val="1333020968"/>
      </w:pPr>
      <w:r>
        <w:t>1.Врачи-специалисты: дерматовенерологи, гематологи, онкологи.</w:t>
      </w:r>
    </w:p>
    <w:p w:rsidR="00B104EF" w:rsidRDefault="00FB5F9C" w:rsidP="00FB5F9C">
      <w:pPr>
        <w:pStyle w:val="aff7"/>
        <w:divId w:val="1333020968"/>
      </w:pPr>
      <w:r>
        <w:t>2.Преподаватели медицинских образовательных учреждений по специальности «Дерматовенерология»</w:t>
      </w:r>
      <w:r w:rsidR="001F4CCF">
        <w:t>, «Гематология», «Онкология»</w:t>
      </w:r>
    </w:p>
    <w:p w:rsidR="00A91645" w:rsidRPr="007C14EE" w:rsidRDefault="00A91645" w:rsidP="00A91645">
      <w:pPr>
        <w:divId w:val="1333020968"/>
      </w:pPr>
      <w:bookmarkStart w:id="79" w:name="_Ref515967586"/>
      <w:r w:rsidRPr="007C14EE">
        <w:rPr>
          <w:b/>
        </w:rPr>
        <w:t xml:space="preserve">Таблица </w:t>
      </w:r>
      <w:r w:rsidR="008C10E4" w:rsidRPr="007C14EE">
        <w:rPr>
          <w:b/>
        </w:rPr>
        <w:fldChar w:fldCharType="begin"/>
      </w:r>
      <w:r w:rsidRPr="007C14EE">
        <w:rPr>
          <w:b/>
        </w:rPr>
        <w:instrText xml:space="preserve"> SEQ Таблица \* ARABIC </w:instrText>
      </w:r>
      <w:r w:rsidR="008C10E4" w:rsidRPr="007C14EE">
        <w:rPr>
          <w:b/>
        </w:rPr>
        <w:fldChar w:fldCharType="separate"/>
      </w:r>
      <w:r>
        <w:rPr>
          <w:b/>
          <w:noProof/>
        </w:rPr>
        <w:t>1</w:t>
      </w:r>
      <w:r w:rsidR="008C10E4" w:rsidRPr="007C14EE">
        <w:rPr>
          <w:b/>
        </w:rPr>
        <w:fldChar w:fldCharType="end"/>
      </w:r>
      <w:bookmarkEnd w:id="79"/>
      <w:r w:rsidRPr="007C14EE">
        <w:rPr>
          <w:b/>
        </w:rPr>
        <w:t>.</w:t>
      </w:r>
      <w:r w:rsidR="002F591F" w:rsidRPr="00095341">
        <w:rPr>
          <w:b/>
        </w:rPr>
        <w:t xml:space="preserve"> </w:t>
      </w:r>
      <w:r>
        <w:t>Шкала оценки уровней достоверности доказательств (</w:t>
      </w:r>
      <w:r w:rsidRPr="00544207">
        <w:t>УДД</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w:t>
            </w:r>
            <w:r w:rsidR="005C7877" w:rsidRPr="00F95275">
              <w:rPr>
                <w:szCs w:val="24"/>
              </w:rPr>
              <w:t>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Отдельные исследования с контролем референсным методом</w:t>
            </w:r>
            <w:r w:rsidR="005C7877" w:rsidRPr="00F95275">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F95275">
              <w:rPr>
                <w:color w:val="000000"/>
                <w:szCs w:val="24"/>
              </w:rPr>
              <w:t xml:space="preserve"> или нерандомизированные сравнительные исследования, в том числе когортные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80" w:name="_Ref515967623"/>
      <w:r w:rsidRPr="007C14EE">
        <w:rPr>
          <w:b/>
        </w:rPr>
        <w:t xml:space="preserve">Таблица </w:t>
      </w:r>
      <w:r w:rsidR="008C10E4" w:rsidRPr="007C14EE">
        <w:rPr>
          <w:b/>
        </w:rPr>
        <w:fldChar w:fldCharType="begin"/>
      </w:r>
      <w:r w:rsidRPr="007C14EE">
        <w:rPr>
          <w:b/>
        </w:rPr>
        <w:instrText xml:space="preserve"> SEQ Таблица \* ARABIC </w:instrText>
      </w:r>
      <w:r w:rsidR="008C10E4" w:rsidRPr="007C14EE">
        <w:rPr>
          <w:b/>
        </w:rPr>
        <w:fldChar w:fldCharType="separate"/>
      </w:r>
      <w:r>
        <w:rPr>
          <w:b/>
          <w:noProof/>
        </w:rPr>
        <w:t>2</w:t>
      </w:r>
      <w:r w:rsidR="008C10E4" w:rsidRPr="007C14EE">
        <w:rPr>
          <w:b/>
        </w:rPr>
        <w:fldChar w:fldCharType="end"/>
      </w:r>
      <w:bookmarkEnd w:id="80"/>
      <w:r w:rsidRPr="007C14EE">
        <w:rPr>
          <w:b/>
        </w:rPr>
        <w:t>.</w:t>
      </w:r>
      <w:r w:rsidR="002F591F" w:rsidRPr="00095341">
        <w:rPr>
          <w:b/>
        </w:rPr>
        <w:t xml:space="preserve"> </w:t>
      </w:r>
      <w:r w:rsidR="005C7877">
        <w:t>Шкала оценки уровней достоверности доказательств (</w:t>
      </w:r>
      <w:r w:rsidR="005C7877" w:rsidRPr="003311A4">
        <w:t>УДД</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9C0364" w:rsidP="00F95275">
            <w:pPr>
              <w:spacing w:line="240" w:lineRule="auto"/>
              <w:ind w:firstLine="0"/>
              <w:jc w:val="center"/>
              <w:rPr>
                <w:b/>
                <w:color w:val="000000"/>
                <w:szCs w:val="24"/>
              </w:rPr>
            </w:pPr>
            <w:r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Систематический обзор РКИ 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 xml:space="preserve">Отдельные РКИ и систематические обзоры исследований любого </w:t>
            </w:r>
            <w:r w:rsidR="009C0364" w:rsidRPr="00F95275">
              <w:rPr>
                <w:color w:val="000000"/>
                <w:szCs w:val="24"/>
              </w:rPr>
              <w:t xml:space="preserve">дизайна, за исключением РКИ, </w:t>
            </w:r>
            <w:r w:rsidRPr="00F95275">
              <w:rPr>
                <w:color w:val="000000"/>
                <w:szCs w:val="24"/>
              </w:rPr>
              <w:t>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Нерандомизированные сравнительные исследования, в т.ч. когортные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7"/>
        <w:divId w:val="1333020968"/>
        <w:rPr>
          <w:rStyle w:val="affa"/>
        </w:rPr>
      </w:pPr>
    </w:p>
    <w:p w:rsidR="009C0364" w:rsidRDefault="009C0364" w:rsidP="009C0364">
      <w:pPr>
        <w:divId w:val="1333020968"/>
      </w:pPr>
      <w:bookmarkStart w:id="81" w:name="_Ref515967732"/>
      <w:r w:rsidRPr="00B15720">
        <w:rPr>
          <w:b/>
        </w:rPr>
        <w:t xml:space="preserve">Таблица </w:t>
      </w:r>
      <w:bookmarkEnd w:id="81"/>
      <w:r>
        <w:rPr>
          <w:b/>
        </w:rPr>
        <w:t>3</w:t>
      </w:r>
      <w:r w:rsidRPr="00B15720">
        <w:rPr>
          <w:b/>
        </w:rPr>
        <w:t>.</w:t>
      </w:r>
      <w:r w:rsidR="002F591F" w:rsidRPr="00095341">
        <w:rPr>
          <w:b/>
        </w:rPr>
        <w:t xml:space="preserve"> </w:t>
      </w:r>
      <w:r>
        <w:t>Шкала оценки уровней убедительности рекомендаций(</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lastRenderedPageBreak/>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7"/>
        <w:divId w:val="1333020968"/>
        <w:rPr>
          <w:rStyle w:val="affa"/>
        </w:rPr>
      </w:pPr>
    </w:p>
    <w:p w:rsidR="00275A41" w:rsidRDefault="00CB71DA" w:rsidP="00F756F0">
      <w:pPr>
        <w:pStyle w:val="aff7"/>
        <w:divId w:val="1333020968"/>
        <w:rPr>
          <w:rFonts w:eastAsia="Times New Roman"/>
        </w:rPr>
      </w:pPr>
      <w:r>
        <w:rPr>
          <w:rStyle w:val="affa"/>
        </w:rPr>
        <w:t>Порядок обновления клинических рекомендаций.</w:t>
      </w:r>
    </w:p>
    <w:p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 xml:space="preserve">года,а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rsidR="00AC0B35" w:rsidRDefault="00CB71DA">
      <w:pPr>
        <w:pStyle w:val="afff1"/>
      </w:pPr>
      <w:r>
        <w:br w:type="page"/>
      </w:r>
      <w:bookmarkStart w:id="82" w:name="__RefHeading___doc_a3"/>
      <w:bookmarkStart w:id="83" w:name="_Toc36831366"/>
      <w:bookmarkStart w:id="84" w:name="_Toc34301099"/>
      <w:r w:rsidRPr="005219AF">
        <w:lastRenderedPageBreak/>
        <w:t xml:space="preserve">Приложение А3. </w:t>
      </w:r>
      <w:bookmarkEnd w:id="82"/>
      <w:r w:rsidR="009C0364"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t>,</w:t>
      </w:r>
      <w:r w:rsidR="009C0364" w:rsidRPr="005219AF">
        <w:t xml:space="preserve"> инструкции по прим</w:t>
      </w:r>
      <w:r w:rsidR="003527A8" w:rsidRPr="005219AF">
        <w:t>енению лекарственного препарата</w:t>
      </w:r>
      <w:bookmarkEnd w:id="83"/>
      <w:bookmarkEnd w:id="84"/>
    </w:p>
    <w:p w:rsidR="00FB5F9C" w:rsidRDefault="00FB5F9C" w:rsidP="00FB5F9C">
      <w:pPr>
        <w:pStyle w:val="afb"/>
        <w:spacing w:beforeAutospacing="0" w:afterAutospacing="0" w:line="360" w:lineRule="auto"/>
      </w:pPr>
      <w:r>
        <w:t>Данные клинические рекомендации разработаны с учётом следующих нормативно-правовых документов:</w:t>
      </w:r>
    </w:p>
    <w:p w:rsidR="00FB5F9C" w:rsidRDefault="00FB5F9C" w:rsidP="00FB5F9C">
      <w:r>
        <w:t>1.</w:t>
      </w:r>
      <w:r>
        <w:tab/>
      </w:r>
      <w:r>
        <w:rPr>
          <w:rFonts w:eastAsia="Times New Roman"/>
        </w:rPr>
        <w:t>Порядок оказания медицинской помощи по профилю «дерматовенерология», утвержденный Приказом Министерства здравоохранения Российской Федерации № 924н от 15 ноября 2012 г.</w:t>
      </w:r>
    </w:p>
    <w:p w:rsidR="006446FF" w:rsidRDefault="00FB5F9C" w:rsidP="00FB5F9C">
      <w:pPr>
        <w:rPr>
          <w:rFonts w:eastAsia="Times New Roman"/>
        </w:rPr>
      </w:pPr>
      <w:r>
        <w:t>2.</w:t>
      </w:r>
      <w:r>
        <w:tab/>
      </w:r>
      <w:r>
        <w:rPr>
          <w:rFonts w:eastAsia="Times New Roman"/>
        </w:rPr>
        <w:t>Порядок оказания медицинской помощи по профилю «гематология», утвержденный Приказом Министерства здравоохранения Российской Федерации № 930н от 15 ноября 2012 г.</w:t>
      </w:r>
    </w:p>
    <w:p w:rsidR="00A1540A" w:rsidRDefault="00A1540A" w:rsidP="00A1540A">
      <w:pPr>
        <w:rPr>
          <w:rFonts w:eastAsia="Times New Roman"/>
        </w:rPr>
      </w:pPr>
      <w:r>
        <w:t>3.</w:t>
      </w:r>
      <w:r>
        <w:tab/>
      </w:r>
      <w:r w:rsidRPr="0057361B">
        <w:rPr>
          <w:bCs/>
          <w:szCs w:val="24"/>
        </w:rPr>
        <w:t>Приказ Министерства здравоохранения РФ и Министерства труда и социальной защиты РФ от 31 мая 2019 г.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414F6" w:rsidRDefault="00CB71DA" w:rsidP="003B0404">
      <w:pPr>
        <w:pStyle w:val="CustomContentNormal"/>
      </w:pPr>
      <w:r>
        <w:br w:type="page"/>
      </w:r>
      <w:bookmarkStart w:id="85" w:name="__RefHeading___doc_b"/>
      <w:bookmarkStart w:id="86" w:name="_Toc36831367"/>
      <w:bookmarkStart w:id="87" w:name="_Toc34301100"/>
      <w:r>
        <w:lastRenderedPageBreak/>
        <w:t>Приложение Б</w:t>
      </w:r>
      <w:r w:rsidR="00493628">
        <w:t>1</w:t>
      </w:r>
      <w:r>
        <w:t xml:space="preserve">. Алгоритмы </w:t>
      </w:r>
      <w:bookmarkEnd w:id="85"/>
      <w:r w:rsidR="003527A8">
        <w:t>действий врача</w:t>
      </w:r>
      <w:bookmarkEnd w:id="86"/>
      <w:bookmarkEnd w:id="87"/>
    </w:p>
    <w:p w:rsidR="00C4630C" w:rsidRDefault="00C4630C">
      <w:pPr>
        <w:divId w:val="764688137"/>
        <w:rPr>
          <w:rFonts w:eastAsia="Times New Roman"/>
          <w:noProof/>
          <w:lang w:eastAsia="ru-RU"/>
        </w:rPr>
      </w:pPr>
    </w:p>
    <w:p w:rsidR="00275A41" w:rsidRDefault="00CE1EE5" w:rsidP="00CE1EE5">
      <w:pPr>
        <w:ind w:firstLine="0"/>
        <w:divId w:val="764688137"/>
        <w:rPr>
          <w:rFonts w:eastAsia="Times New Roman"/>
        </w:rPr>
      </w:pPr>
      <w:r w:rsidRPr="00CE1EE5">
        <w:rPr>
          <w:rFonts w:eastAsia="Times New Roman"/>
          <w:noProof/>
          <w:lang w:eastAsia="ru-RU"/>
        </w:rPr>
        <w:drawing>
          <wp:inline distT="0" distB="0" distL="0" distR="0">
            <wp:extent cx="5857875" cy="6858000"/>
            <wp:effectExtent l="19050" t="0" r="9525" b="0"/>
            <wp:docPr id="1" name="Рисунок 1" descr="E-CT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CL"/>
                    <pic:cNvPicPr>
                      <a:picLocks noChangeAspect="1" noChangeArrowheads="1"/>
                    </pic:cNvPicPr>
                  </pic:nvPicPr>
                  <pic:blipFill>
                    <a:blip r:embed="rId8" cstate="print"/>
                    <a:srcRect/>
                    <a:stretch>
                      <a:fillRect/>
                    </a:stretch>
                  </pic:blipFill>
                  <pic:spPr bwMode="auto">
                    <a:xfrm>
                      <a:off x="0" y="0"/>
                      <a:ext cx="5861449" cy="6862184"/>
                    </a:xfrm>
                    <a:prstGeom prst="rect">
                      <a:avLst/>
                    </a:prstGeom>
                    <a:noFill/>
                    <a:ln w="9525">
                      <a:noFill/>
                      <a:miter lim="800000"/>
                      <a:headEnd/>
                      <a:tailEnd/>
                    </a:ln>
                  </pic:spPr>
                </pic:pic>
              </a:graphicData>
            </a:graphic>
          </wp:inline>
        </w:drawing>
      </w:r>
    </w:p>
    <w:bookmarkStart w:id="88" w:name="_MON_1647693769"/>
    <w:bookmarkEnd w:id="88"/>
    <w:p w:rsidR="000414F6" w:rsidRDefault="00BD6601" w:rsidP="003B0404">
      <w:pPr>
        <w:pStyle w:val="CustomContentNormal"/>
      </w:pPr>
      <w:r w:rsidRPr="000E54DB">
        <w:rPr>
          <w:noProof/>
        </w:rPr>
        <w:object w:dxaOrig="10011" w:dyaOrig="14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0.25pt;height:711pt;mso-width-percent:0;mso-height-percent:0;mso-width-percent:0;mso-height-percent:0" o:ole="">
            <v:imagedata r:id="rId9" o:title=""/>
          </v:shape>
          <o:OLEObject Type="Embed" ProgID="Word.Document.8" ShapeID="_x0000_i1025" DrawAspect="Content" ObjectID="_1763367894" r:id="rId10">
            <o:FieldCodes>\s</o:FieldCodes>
          </o:OLEObject>
        </w:object>
      </w:r>
      <w:r w:rsidR="00CB71DA">
        <w:br w:type="page"/>
      </w:r>
      <w:bookmarkStart w:id="89" w:name="__RefHeading___doc_v"/>
      <w:bookmarkStart w:id="90" w:name="_Toc36831368"/>
      <w:bookmarkStart w:id="91" w:name="_Toc34301101"/>
      <w:r w:rsidR="00CB71DA">
        <w:lastRenderedPageBreak/>
        <w:t>Приложение В. Информация для пациент</w:t>
      </w:r>
      <w:bookmarkEnd w:id="89"/>
      <w:r w:rsidR="003527A8">
        <w:t>а</w:t>
      </w:r>
      <w:bookmarkEnd w:id="90"/>
      <w:bookmarkEnd w:id="91"/>
    </w:p>
    <w:p w:rsidR="00174593" w:rsidRPr="003527A8" w:rsidRDefault="00CE1EE5" w:rsidP="00CE1EE5">
      <w:pPr>
        <w:pStyle w:val="afb"/>
        <w:spacing w:beforeAutospacing="0" w:afterAutospacing="0" w:line="360" w:lineRule="auto"/>
      </w:pPr>
      <w:r>
        <w:t>Тщательное соблюдение режима терапии, назначенной врачом, повы</w:t>
      </w:r>
      <w:r w:rsidR="001F4CCF">
        <w:t>шает ее эффективность</w:t>
      </w:r>
      <w:r>
        <w:t>.</w:t>
      </w:r>
    </w:p>
    <w:p w:rsidR="00174593" w:rsidRPr="003527A8" w:rsidRDefault="00174593" w:rsidP="00C4630C">
      <w:pPr>
        <w:pStyle w:val="aff7"/>
      </w:pPr>
    </w:p>
    <w:p w:rsidR="000414F6" w:rsidRDefault="00CB71DA" w:rsidP="00C4630C">
      <w:pPr>
        <w:pStyle w:val="afff1"/>
      </w:pPr>
      <w:r>
        <w:br w:type="page"/>
      </w:r>
      <w:bookmarkStart w:id="92" w:name="__RefHeading___doc_g"/>
      <w:bookmarkStart w:id="93" w:name="_Toc36831369"/>
      <w:bookmarkStart w:id="94" w:name="_Toc34301102"/>
      <w:r w:rsidRPr="005219AF">
        <w:lastRenderedPageBreak/>
        <w:t>Приложение</w:t>
      </w:r>
      <w:bookmarkEnd w:id="92"/>
      <w:r w:rsidR="003527A8" w:rsidRPr="005219AF">
        <w:t xml:space="preserve"> Г1. </w:t>
      </w:r>
      <w:r w:rsidR="00DD0BA9" w:rsidRPr="00DD0BA9">
        <w:rPr>
          <w:rFonts w:eastAsia="Times New Roman" w:cs="Calibri"/>
          <w:lang w:eastAsia="ru-RU"/>
        </w:rPr>
        <w:t xml:space="preserve">Стадирование </w:t>
      </w:r>
      <w:r w:rsidR="00FA7D06">
        <w:rPr>
          <w:rFonts w:eastAsia="Times New Roman" w:cs="Calibri"/>
          <w:lang w:eastAsia="ru-RU"/>
        </w:rPr>
        <w:t>грибовидного микоза</w:t>
      </w:r>
      <w:r w:rsidR="00DD0BA9" w:rsidRPr="00DD0BA9">
        <w:rPr>
          <w:rFonts w:eastAsia="Times New Roman" w:cs="Calibri"/>
          <w:lang w:eastAsia="ru-RU"/>
        </w:rPr>
        <w:t>/</w:t>
      </w:r>
      <w:r w:rsidR="00FA7D06">
        <w:rPr>
          <w:rFonts w:eastAsia="Times New Roman" w:cs="Calibri"/>
          <w:lang w:eastAsia="ru-RU"/>
        </w:rPr>
        <w:t>синдрома Сезари</w:t>
      </w:r>
      <w:r w:rsidR="00DD0BA9" w:rsidRPr="00DD0BA9">
        <w:rPr>
          <w:rFonts w:eastAsia="Times New Roman" w:cs="Calibri"/>
          <w:lang w:eastAsia="ru-RU"/>
        </w:rPr>
        <w:t xml:space="preserve"> согласно рекомендациям </w:t>
      </w:r>
      <w:r w:rsidR="00DD0BA9" w:rsidRPr="00DD0BA9">
        <w:rPr>
          <w:rFonts w:eastAsia="Times New Roman" w:cs="Calibri"/>
          <w:lang w:val="en-US" w:eastAsia="ru-RU"/>
        </w:rPr>
        <w:t>ISLE</w:t>
      </w:r>
      <w:r w:rsidR="00DD0BA9" w:rsidRPr="00DD0BA9">
        <w:rPr>
          <w:rFonts w:eastAsia="Times New Roman" w:cs="Calibri"/>
          <w:lang w:eastAsia="ru-RU"/>
        </w:rPr>
        <w:t>-</w:t>
      </w:r>
      <w:r w:rsidR="00DD0BA9" w:rsidRPr="00DD0BA9">
        <w:rPr>
          <w:rFonts w:eastAsia="Times New Roman" w:cs="Calibri"/>
          <w:lang w:val="en-US" w:eastAsia="ru-RU"/>
        </w:rPr>
        <w:t>EORTC</w:t>
      </w:r>
      <w:bookmarkEnd w:id="93"/>
      <w:bookmarkEnd w:id="94"/>
    </w:p>
    <w:tbl>
      <w:tblPr>
        <w:tblW w:w="9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701"/>
        <w:gridCol w:w="1559"/>
        <w:gridCol w:w="1276"/>
        <w:gridCol w:w="1615"/>
      </w:tblGrid>
      <w:tr w:rsidR="005B1751" w:rsidRPr="00336969" w:rsidTr="00E90536">
        <w:trPr>
          <w:trHeight w:val="77"/>
        </w:trPr>
        <w:tc>
          <w:tcPr>
            <w:tcW w:w="9128" w:type="dxa"/>
            <w:gridSpan w:val="5"/>
            <w:tcBorders>
              <w:top w:val="single" w:sz="4" w:space="0" w:color="auto"/>
              <w:left w:val="single" w:sz="4" w:space="0" w:color="auto"/>
              <w:bottom w:val="single" w:sz="4" w:space="0" w:color="auto"/>
              <w:right w:val="single" w:sz="4" w:space="0" w:color="auto"/>
            </w:tcBorders>
          </w:tcPr>
          <w:p w:rsidR="005B1751" w:rsidRPr="005B1751" w:rsidRDefault="005B1751" w:rsidP="00E90536">
            <w:pPr>
              <w:rPr>
                <w:rFonts w:eastAsia="Times New Roman" w:cs="Calibri"/>
                <w:b/>
                <w:szCs w:val="24"/>
                <w:lang w:eastAsia="ru-RU"/>
              </w:rPr>
            </w:pPr>
            <w:bookmarkStart w:id="95" w:name="bookmark6"/>
            <w:r w:rsidRPr="005B1751">
              <w:rPr>
                <w:rFonts w:eastAsia="Times New Roman" w:cs="Calibri"/>
                <w:b/>
                <w:szCs w:val="24"/>
                <w:lang w:eastAsia="ru-RU"/>
              </w:rPr>
              <w:t>Кожа</w:t>
            </w:r>
          </w:p>
          <w:p w:rsidR="005B1751" w:rsidRPr="005B1751" w:rsidRDefault="005B1751" w:rsidP="00E90536">
            <w:pPr>
              <w:rPr>
                <w:rFonts w:eastAsia="Times New Roman" w:cs="Calibri"/>
                <w:szCs w:val="24"/>
                <w:lang w:eastAsia="ru-RU"/>
              </w:rPr>
            </w:pPr>
            <w:r w:rsidRPr="005B1751">
              <w:rPr>
                <w:rFonts w:eastAsia="Times New Roman" w:cs="Calibri"/>
                <w:b/>
                <w:szCs w:val="24"/>
                <w:lang w:eastAsia="ru-RU"/>
              </w:rPr>
              <w:t>Т</w:t>
            </w:r>
            <w:r w:rsidRPr="005B1751">
              <w:rPr>
                <w:rFonts w:eastAsia="Times New Roman" w:cs="Calibri"/>
                <w:b/>
                <w:szCs w:val="24"/>
                <w:vertAlign w:val="subscript"/>
                <w:lang w:eastAsia="ru-RU"/>
              </w:rPr>
              <w:t>1</w:t>
            </w:r>
            <w:r w:rsidRPr="005B1751">
              <w:rPr>
                <w:rFonts w:eastAsia="Times New Roman" w:cs="Calibri"/>
                <w:szCs w:val="24"/>
                <w:lang w:eastAsia="ru-RU"/>
              </w:rPr>
              <w:t xml:space="preserve">   Ограниченные пятна, папулы, и/или бляшки, покрывающие &lt;10% кожного покрова</w:t>
            </w:r>
          </w:p>
          <w:p w:rsidR="005B1751" w:rsidRPr="005B1751" w:rsidRDefault="005B1751" w:rsidP="00E90536">
            <w:pPr>
              <w:rPr>
                <w:rFonts w:eastAsia="Times New Roman" w:cs="Calibri"/>
                <w:szCs w:val="24"/>
                <w:lang w:eastAsia="ru-RU"/>
              </w:rPr>
            </w:pPr>
            <w:r w:rsidRPr="005B1751">
              <w:rPr>
                <w:rFonts w:eastAsia="Times New Roman" w:cs="Calibri"/>
                <w:szCs w:val="24"/>
                <w:lang w:eastAsia="ru-RU"/>
              </w:rPr>
              <w:t xml:space="preserve">           Т</w:t>
            </w:r>
            <w:r w:rsidRPr="005B1751">
              <w:rPr>
                <w:rFonts w:eastAsia="Times New Roman" w:cs="Calibri"/>
                <w:szCs w:val="24"/>
                <w:vertAlign w:val="subscript"/>
                <w:lang w:eastAsia="ru-RU"/>
              </w:rPr>
              <w:t>1а</w:t>
            </w:r>
            <w:r w:rsidRPr="005B1751">
              <w:rPr>
                <w:rFonts w:eastAsia="Times New Roman" w:cs="Calibri"/>
                <w:szCs w:val="24"/>
                <w:lang w:eastAsia="ru-RU"/>
              </w:rPr>
              <w:t xml:space="preserve"> – только пятна</w:t>
            </w:r>
          </w:p>
          <w:p w:rsidR="005B1751" w:rsidRPr="005B1751" w:rsidRDefault="005B1751" w:rsidP="00E90536">
            <w:pPr>
              <w:rPr>
                <w:rFonts w:eastAsia="Times New Roman" w:cs="Calibri"/>
                <w:szCs w:val="24"/>
                <w:lang w:eastAsia="ru-RU"/>
              </w:rPr>
            </w:pPr>
            <w:r w:rsidRPr="005B1751">
              <w:rPr>
                <w:rFonts w:eastAsia="Times New Roman" w:cs="Calibri"/>
                <w:szCs w:val="24"/>
                <w:lang w:eastAsia="ru-RU"/>
              </w:rPr>
              <w:t xml:space="preserve">           Т</w:t>
            </w:r>
            <w:r w:rsidRPr="005B1751">
              <w:rPr>
                <w:rFonts w:eastAsia="Times New Roman" w:cs="Calibri"/>
                <w:szCs w:val="24"/>
                <w:vertAlign w:val="subscript"/>
                <w:lang w:eastAsia="ru-RU"/>
              </w:rPr>
              <w:t>1</w:t>
            </w:r>
            <w:r w:rsidRPr="005B1751">
              <w:rPr>
                <w:rFonts w:eastAsia="Times New Roman" w:cs="Calibri"/>
                <w:szCs w:val="24"/>
                <w:vertAlign w:val="subscript"/>
                <w:lang w:val="en-US" w:eastAsia="ru-RU"/>
              </w:rPr>
              <w:t>b</w:t>
            </w:r>
            <w:r w:rsidRPr="005B1751">
              <w:rPr>
                <w:rFonts w:eastAsia="Times New Roman" w:cs="Calibri"/>
                <w:szCs w:val="24"/>
                <w:lang w:eastAsia="ru-RU"/>
              </w:rPr>
              <w:t xml:space="preserve"> – бляшки ± пятна</w:t>
            </w:r>
          </w:p>
          <w:p w:rsidR="005B1751" w:rsidRPr="005B1751" w:rsidRDefault="005B1751" w:rsidP="00E90536">
            <w:pPr>
              <w:rPr>
                <w:rFonts w:eastAsia="Times New Roman" w:cs="Calibri"/>
                <w:szCs w:val="24"/>
                <w:lang w:eastAsia="ru-RU"/>
              </w:rPr>
            </w:pPr>
            <w:r w:rsidRPr="005B1751">
              <w:rPr>
                <w:rFonts w:eastAsia="Times New Roman" w:cs="Calibri"/>
                <w:b/>
                <w:szCs w:val="24"/>
                <w:lang w:eastAsia="ru-RU"/>
              </w:rPr>
              <w:t>Т</w:t>
            </w:r>
            <w:r w:rsidRPr="005B1751">
              <w:rPr>
                <w:rFonts w:eastAsia="Times New Roman" w:cs="Calibri"/>
                <w:b/>
                <w:szCs w:val="24"/>
                <w:vertAlign w:val="subscript"/>
                <w:lang w:eastAsia="ru-RU"/>
              </w:rPr>
              <w:t>2</w:t>
            </w:r>
            <w:r w:rsidRPr="005B1751">
              <w:rPr>
                <w:rFonts w:eastAsia="Times New Roman" w:cs="Calibri"/>
                <w:szCs w:val="24"/>
                <w:lang w:eastAsia="ru-RU"/>
              </w:rPr>
              <w:t xml:space="preserve">   Пятна, папулы, и/или бляшки, покрывающие &gt;10% кожного покрова</w:t>
            </w:r>
          </w:p>
          <w:p w:rsidR="005B1751" w:rsidRPr="005B1751" w:rsidRDefault="005B1751" w:rsidP="00E90536">
            <w:pPr>
              <w:rPr>
                <w:rFonts w:eastAsia="Times New Roman" w:cs="Calibri"/>
                <w:szCs w:val="24"/>
                <w:lang w:eastAsia="ru-RU"/>
              </w:rPr>
            </w:pPr>
            <w:r w:rsidRPr="005B1751">
              <w:rPr>
                <w:rFonts w:eastAsia="Times New Roman" w:cs="Calibri"/>
                <w:szCs w:val="24"/>
                <w:lang w:eastAsia="ru-RU"/>
              </w:rPr>
              <w:t xml:space="preserve">          Т</w:t>
            </w:r>
            <w:r w:rsidRPr="005B1751">
              <w:rPr>
                <w:rFonts w:eastAsia="Times New Roman" w:cs="Calibri"/>
                <w:szCs w:val="24"/>
                <w:vertAlign w:val="subscript"/>
                <w:lang w:eastAsia="ru-RU"/>
              </w:rPr>
              <w:t>2а</w:t>
            </w:r>
            <w:r w:rsidRPr="005B1751">
              <w:rPr>
                <w:rFonts w:eastAsia="Times New Roman" w:cs="Calibri"/>
                <w:szCs w:val="24"/>
                <w:lang w:eastAsia="ru-RU"/>
              </w:rPr>
              <w:t xml:space="preserve"> – только пятна</w:t>
            </w:r>
          </w:p>
          <w:p w:rsidR="005B1751" w:rsidRPr="005B1751" w:rsidRDefault="005B1751" w:rsidP="00E90536">
            <w:pPr>
              <w:rPr>
                <w:rFonts w:eastAsia="Times New Roman" w:cs="Calibri"/>
                <w:szCs w:val="24"/>
                <w:lang w:eastAsia="ru-RU"/>
              </w:rPr>
            </w:pPr>
            <w:r w:rsidRPr="005B1751">
              <w:rPr>
                <w:rFonts w:eastAsia="Times New Roman" w:cs="Calibri"/>
                <w:szCs w:val="24"/>
                <w:lang w:eastAsia="ru-RU"/>
              </w:rPr>
              <w:t xml:space="preserve">          Т</w:t>
            </w:r>
            <w:r w:rsidRPr="005B1751">
              <w:rPr>
                <w:rFonts w:eastAsia="Times New Roman" w:cs="Calibri"/>
                <w:szCs w:val="24"/>
                <w:vertAlign w:val="subscript"/>
                <w:lang w:eastAsia="ru-RU"/>
              </w:rPr>
              <w:t>2</w:t>
            </w:r>
            <w:r w:rsidRPr="005B1751">
              <w:rPr>
                <w:rFonts w:eastAsia="Times New Roman" w:cs="Calibri"/>
                <w:szCs w:val="24"/>
                <w:vertAlign w:val="subscript"/>
                <w:lang w:val="en-US" w:eastAsia="ru-RU"/>
              </w:rPr>
              <w:t>b</w:t>
            </w:r>
            <w:r w:rsidRPr="005B1751">
              <w:rPr>
                <w:rFonts w:eastAsia="Times New Roman" w:cs="Calibri"/>
                <w:szCs w:val="24"/>
                <w:lang w:eastAsia="ru-RU"/>
              </w:rPr>
              <w:t xml:space="preserve"> - бляшки ± пятна</w:t>
            </w:r>
          </w:p>
          <w:p w:rsidR="005B1751" w:rsidRPr="005B1751" w:rsidRDefault="005B1751" w:rsidP="00E90536">
            <w:pPr>
              <w:rPr>
                <w:rFonts w:eastAsia="Times New Roman" w:cs="Calibri"/>
                <w:szCs w:val="24"/>
                <w:lang w:eastAsia="ru-RU"/>
              </w:rPr>
            </w:pPr>
            <w:r w:rsidRPr="005B1751">
              <w:rPr>
                <w:rFonts w:eastAsia="Times New Roman" w:cs="Calibri"/>
                <w:b/>
                <w:szCs w:val="24"/>
                <w:lang w:eastAsia="ru-RU"/>
              </w:rPr>
              <w:t>Т</w:t>
            </w:r>
            <w:r w:rsidRPr="005B1751">
              <w:rPr>
                <w:rFonts w:eastAsia="Times New Roman" w:cs="Calibri"/>
                <w:b/>
                <w:szCs w:val="24"/>
                <w:vertAlign w:val="subscript"/>
                <w:lang w:eastAsia="ru-RU"/>
              </w:rPr>
              <w:t>3</w:t>
            </w:r>
            <w:r w:rsidRPr="005B1751">
              <w:rPr>
                <w:rFonts w:eastAsia="Times New Roman" w:cs="Calibri"/>
                <w:szCs w:val="24"/>
                <w:lang w:eastAsia="ru-RU"/>
              </w:rPr>
              <w:t xml:space="preserve">   Один или более узлов (≥1 см в диаметре)</w:t>
            </w:r>
          </w:p>
          <w:p w:rsidR="005B1751" w:rsidRPr="005B1751" w:rsidRDefault="005B1751" w:rsidP="00E90536">
            <w:pPr>
              <w:rPr>
                <w:rFonts w:eastAsia="Times New Roman" w:cs="Calibri"/>
                <w:szCs w:val="24"/>
                <w:lang w:eastAsia="ru-RU"/>
              </w:rPr>
            </w:pPr>
            <w:r w:rsidRPr="005B1751">
              <w:rPr>
                <w:rFonts w:eastAsia="Times New Roman" w:cs="Calibri"/>
                <w:b/>
                <w:szCs w:val="24"/>
                <w:lang w:eastAsia="ru-RU"/>
              </w:rPr>
              <w:t>Т</w:t>
            </w:r>
            <w:r w:rsidRPr="005B1751">
              <w:rPr>
                <w:rFonts w:eastAsia="Times New Roman" w:cs="Calibri"/>
                <w:b/>
                <w:szCs w:val="24"/>
                <w:vertAlign w:val="subscript"/>
                <w:lang w:eastAsia="ru-RU"/>
              </w:rPr>
              <w:t>4</w:t>
            </w:r>
            <w:r w:rsidRPr="005B1751">
              <w:rPr>
                <w:rFonts w:eastAsia="Times New Roman" w:cs="Calibri"/>
                <w:szCs w:val="24"/>
                <w:lang w:eastAsia="ru-RU"/>
              </w:rPr>
              <w:t xml:space="preserve">   Сливающаяся эритема, покрывающая ≥80% поверхности тела</w:t>
            </w:r>
          </w:p>
          <w:p w:rsidR="005B1751" w:rsidRPr="005B1751" w:rsidRDefault="005B1751" w:rsidP="00E90536">
            <w:pPr>
              <w:rPr>
                <w:rFonts w:eastAsia="Times New Roman" w:cs="Calibri"/>
                <w:szCs w:val="24"/>
                <w:lang w:eastAsia="ru-RU"/>
              </w:rPr>
            </w:pPr>
          </w:p>
          <w:p w:rsidR="005B1751" w:rsidRPr="005B1751" w:rsidRDefault="005B1751" w:rsidP="00E90536">
            <w:pPr>
              <w:rPr>
                <w:rFonts w:eastAsia="Times New Roman" w:cs="Calibri"/>
                <w:b/>
                <w:szCs w:val="24"/>
                <w:lang w:eastAsia="ru-RU"/>
              </w:rPr>
            </w:pPr>
            <w:r w:rsidRPr="005B1751">
              <w:rPr>
                <w:rFonts w:eastAsia="Times New Roman" w:cs="Calibri"/>
                <w:b/>
                <w:szCs w:val="24"/>
                <w:lang w:eastAsia="ru-RU"/>
              </w:rPr>
              <w:t>Лимфатические узлы</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N</w:t>
            </w:r>
            <w:r w:rsidRPr="005B1751">
              <w:rPr>
                <w:rFonts w:eastAsia="Times New Roman" w:cs="Calibri"/>
                <w:b/>
                <w:szCs w:val="24"/>
                <w:vertAlign w:val="subscript"/>
                <w:lang w:eastAsia="ru-RU"/>
              </w:rPr>
              <w:t>0</w:t>
            </w:r>
            <w:r w:rsidRPr="005B1751">
              <w:rPr>
                <w:rFonts w:eastAsia="Times New Roman" w:cs="Calibri"/>
                <w:szCs w:val="24"/>
                <w:lang w:eastAsia="ru-RU"/>
              </w:rPr>
              <w:t xml:space="preserve">   Нет увеличения периферических лимфатических узлов, их биопсия не требуется</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N</w:t>
            </w:r>
            <w:r w:rsidRPr="005B1751">
              <w:rPr>
                <w:rFonts w:eastAsia="Times New Roman" w:cs="Calibri"/>
                <w:b/>
                <w:szCs w:val="24"/>
                <w:vertAlign w:val="subscript"/>
                <w:lang w:eastAsia="ru-RU"/>
              </w:rPr>
              <w:t>1</w:t>
            </w:r>
            <w:r w:rsidRPr="005B1751">
              <w:rPr>
                <w:rFonts w:eastAsia="Times New Roman" w:cs="Calibri"/>
                <w:szCs w:val="24"/>
                <w:lang w:eastAsia="ru-RU"/>
              </w:rPr>
              <w:t xml:space="preserve">   Периферические лимфатические узлы увеличены; гистопатология </w:t>
            </w:r>
            <w:r w:rsidRPr="005B1751">
              <w:rPr>
                <w:rFonts w:eastAsia="Times New Roman" w:cs="Calibri"/>
                <w:szCs w:val="24"/>
                <w:lang w:val="en-US" w:eastAsia="ru-RU"/>
              </w:rPr>
              <w:t>Dutchgrade</w:t>
            </w:r>
            <w:r w:rsidRPr="005B1751">
              <w:rPr>
                <w:rFonts w:eastAsia="Times New Roman" w:cs="Calibri"/>
                <w:szCs w:val="24"/>
                <w:lang w:eastAsia="ru-RU"/>
              </w:rPr>
              <w:t xml:space="preserve"> 1 или </w:t>
            </w:r>
            <w:r w:rsidRPr="005B1751">
              <w:rPr>
                <w:rFonts w:eastAsia="Times New Roman" w:cs="Calibri"/>
                <w:szCs w:val="24"/>
                <w:lang w:val="en-US" w:eastAsia="ru-RU"/>
              </w:rPr>
              <w:t>NCILN</w:t>
            </w:r>
            <w:r w:rsidRPr="005B1751">
              <w:rPr>
                <w:rFonts w:eastAsia="Times New Roman" w:cs="Calibri"/>
                <w:szCs w:val="24"/>
                <w:vertAlign w:val="subscript"/>
                <w:lang w:eastAsia="ru-RU"/>
              </w:rPr>
              <w:t>0-2</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N</w:t>
            </w:r>
            <w:r w:rsidRPr="005B1751">
              <w:rPr>
                <w:rFonts w:eastAsia="Times New Roman" w:cs="Calibri"/>
                <w:szCs w:val="24"/>
                <w:vertAlign w:val="subscript"/>
                <w:lang w:eastAsia="ru-RU"/>
              </w:rPr>
              <w:t>1</w:t>
            </w:r>
            <w:r w:rsidRPr="005B1751">
              <w:rPr>
                <w:rFonts w:eastAsia="Times New Roman" w:cs="Calibri"/>
                <w:szCs w:val="24"/>
                <w:vertAlign w:val="subscript"/>
                <w:lang w:val="en-US" w:eastAsia="ru-RU"/>
              </w:rPr>
              <w:t>a</w:t>
            </w:r>
            <w:r w:rsidRPr="005B1751">
              <w:rPr>
                <w:rFonts w:eastAsia="Times New Roman" w:cs="Calibri"/>
                <w:szCs w:val="24"/>
                <w:lang w:eastAsia="ru-RU"/>
              </w:rPr>
              <w:t xml:space="preserve"> – клон-негативны</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N</w:t>
            </w:r>
            <w:r w:rsidRPr="005B1751">
              <w:rPr>
                <w:rFonts w:eastAsia="Times New Roman" w:cs="Calibri"/>
                <w:szCs w:val="24"/>
                <w:vertAlign w:val="subscript"/>
                <w:lang w:eastAsia="ru-RU"/>
              </w:rPr>
              <w:t>1</w:t>
            </w:r>
            <w:r w:rsidRPr="005B1751">
              <w:rPr>
                <w:rFonts w:eastAsia="Times New Roman" w:cs="Calibri"/>
                <w:szCs w:val="24"/>
                <w:vertAlign w:val="subscript"/>
                <w:lang w:val="en-US" w:eastAsia="ru-RU"/>
              </w:rPr>
              <w:t>b</w:t>
            </w:r>
            <w:r w:rsidRPr="005B1751">
              <w:rPr>
                <w:rFonts w:eastAsia="Times New Roman" w:cs="Calibri"/>
                <w:szCs w:val="24"/>
                <w:lang w:eastAsia="ru-RU"/>
              </w:rPr>
              <w:t xml:space="preserve"> – клон-позитивны</w:t>
            </w:r>
          </w:p>
          <w:p w:rsidR="005B1751" w:rsidRPr="005B1751" w:rsidRDefault="005B1751" w:rsidP="00E90536">
            <w:pPr>
              <w:rPr>
                <w:rFonts w:eastAsia="Times New Roman" w:cs="Calibri"/>
                <w:szCs w:val="24"/>
                <w:vertAlign w:val="subscript"/>
                <w:lang w:eastAsia="ru-RU"/>
              </w:rPr>
            </w:pPr>
            <w:r w:rsidRPr="005B1751">
              <w:rPr>
                <w:rFonts w:eastAsia="Times New Roman" w:cs="Calibri"/>
                <w:b/>
                <w:szCs w:val="24"/>
                <w:lang w:val="en-US" w:eastAsia="ru-RU"/>
              </w:rPr>
              <w:t>N</w:t>
            </w:r>
            <w:r w:rsidRPr="005B1751">
              <w:rPr>
                <w:rFonts w:eastAsia="Times New Roman" w:cs="Calibri"/>
                <w:b/>
                <w:szCs w:val="24"/>
                <w:vertAlign w:val="subscript"/>
                <w:lang w:eastAsia="ru-RU"/>
              </w:rPr>
              <w:t>2</w:t>
            </w:r>
            <w:r w:rsidRPr="005B1751">
              <w:rPr>
                <w:rFonts w:eastAsia="Times New Roman" w:cs="Calibri"/>
                <w:szCs w:val="24"/>
                <w:lang w:eastAsia="ru-RU"/>
              </w:rPr>
              <w:t xml:space="preserve">   Периферические лимфатические узлы увеличены; гистопатология </w:t>
            </w:r>
            <w:r w:rsidRPr="005B1751">
              <w:rPr>
                <w:rFonts w:eastAsia="Times New Roman" w:cs="Calibri"/>
                <w:szCs w:val="24"/>
                <w:lang w:val="en-US" w:eastAsia="ru-RU"/>
              </w:rPr>
              <w:t>Dutchgrade</w:t>
            </w:r>
            <w:r w:rsidRPr="005B1751">
              <w:rPr>
                <w:rFonts w:eastAsia="Times New Roman" w:cs="Calibri"/>
                <w:szCs w:val="24"/>
                <w:lang w:eastAsia="ru-RU"/>
              </w:rPr>
              <w:t xml:space="preserve"> 2 или </w:t>
            </w:r>
            <w:r w:rsidRPr="005B1751">
              <w:rPr>
                <w:rFonts w:eastAsia="Times New Roman" w:cs="Calibri"/>
                <w:szCs w:val="24"/>
                <w:lang w:val="en-US" w:eastAsia="ru-RU"/>
              </w:rPr>
              <w:t>NCILN</w:t>
            </w:r>
            <w:r w:rsidRPr="005B1751">
              <w:rPr>
                <w:rFonts w:eastAsia="Times New Roman" w:cs="Calibri"/>
                <w:szCs w:val="24"/>
                <w:vertAlign w:val="subscript"/>
                <w:lang w:eastAsia="ru-RU"/>
              </w:rPr>
              <w:t>3</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N</w:t>
            </w:r>
            <w:r w:rsidRPr="005B1751">
              <w:rPr>
                <w:rFonts w:eastAsia="Times New Roman" w:cs="Calibri"/>
                <w:szCs w:val="24"/>
                <w:vertAlign w:val="subscript"/>
                <w:lang w:eastAsia="ru-RU"/>
              </w:rPr>
              <w:t>2</w:t>
            </w:r>
            <w:r w:rsidRPr="005B1751">
              <w:rPr>
                <w:rFonts w:eastAsia="Times New Roman" w:cs="Calibri"/>
                <w:szCs w:val="24"/>
                <w:vertAlign w:val="subscript"/>
                <w:lang w:val="en-US" w:eastAsia="ru-RU"/>
              </w:rPr>
              <w:t>a</w:t>
            </w:r>
            <w:r w:rsidRPr="005B1751">
              <w:rPr>
                <w:rFonts w:eastAsia="Times New Roman" w:cs="Calibri"/>
                <w:szCs w:val="24"/>
                <w:lang w:eastAsia="ru-RU"/>
              </w:rPr>
              <w:t xml:space="preserve"> – клон-негативны</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N</w:t>
            </w:r>
            <w:r w:rsidRPr="005B1751">
              <w:rPr>
                <w:rFonts w:eastAsia="Times New Roman" w:cs="Calibri"/>
                <w:szCs w:val="24"/>
                <w:vertAlign w:val="subscript"/>
                <w:lang w:eastAsia="ru-RU"/>
              </w:rPr>
              <w:t>2</w:t>
            </w:r>
            <w:r w:rsidRPr="005B1751">
              <w:rPr>
                <w:rFonts w:eastAsia="Times New Roman" w:cs="Calibri"/>
                <w:szCs w:val="24"/>
                <w:vertAlign w:val="subscript"/>
                <w:lang w:val="en-US" w:eastAsia="ru-RU"/>
              </w:rPr>
              <w:t>b</w:t>
            </w:r>
            <w:r w:rsidRPr="005B1751">
              <w:rPr>
                <w:rFonts w:eastAsia="Times New Roman" w:cs="Calibri"/>
                <w:szCs w:val="24"/>
                <w:lang w:eastAsia="ru-RU"/>
              </w:rPr>
              <w:t xml:space="preserve"> – клон-позитивны</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N</w:t>
            </w:r>
            <w:r w:rsidRPr="005B1751">
              <w:rPr>
                <w:rFonts w:eastAsia="Times New Roman" w:cs="Calibri"/>
                <w:b/>
                <w:szCs w:val="24"/>
                <w:vertAlign w:val="subscript"/>
                <w:lang w:eastAsia="ru-RU"/>
              </w:rPr>
              <w:t>3</w:t>
            </w:r>
            <w:r w:rsidRPr="005B1751">
              <w:rPr>
                <w:rFonts w:eastAsia="Times New Roman" w:cs="Calibri"/>
                <w:szCs w:val="24"/>
                <w:lang w:eastAsia="ru-RU"/>
              </w:rPr>
              <w:t xml:space="preserve">   Периферические лимфатические узлы увеличены; гистопатология </w:t>
            </w:r>
            <w:r w:rsidRPr="005B1751">
              <w:rPr>
                <w:rFonts w:eastAsia="Times New Roman" w:cs="Calibri"/>
                <w:szCs w:val="24"/>
                <w:lang w:val="en-US" w:eastAsia="ru-RU"/>
              </w:rPr>
              <w:t>Dutchgrade</w:t>
            </w:r>
            <w:r w:rsidRPr="005B1751">
              <w:rPr>
                <w:rFonts w:eastAsia="Times New Roman" w:cs="Calibri"/>
                <w:szCs w:val="24"/>
                <w:lang w:eastAsia="ru-RU"/>
              </w:rPr>
              <w:t xml:space="preserve"> 3-4 или </w:t>
            </w:r>
            <w:r w:rsidRPr="005B1751">
              <w:rPr>
                <w:rFonts w:eastAsia="Times New Roman" w:cs="Calibri"/>
                <w:szCs w:val="24"/>
                <w:lang w:val="en-US" w:eastAsia="ru-RU"/>
              </w:rPr>
              <w:t>NCILN</w:t>
            </w:r>
            <w:r w:rsidRPr="005B1751">
              <w:rPr>
                <w:rFonts w:eastAsia="Times New Roman" w:cs="Calibri"/>
                <w:szCs w:val="24"/>
                <w:vertAlign w:val="subscript"/>
                <w:lang w:eastAsia="ru-RU"/>
              </w:rPr>
              <w:t>4</w:t>
            </w:r>
            <w:r w:rsidRPr="005B1751">
              <w:rPr>
                <w:rFonts w:eastAsia="Times New Roman" w:cs="Calibri"/>
                <w:szCs w:val="24"/>
                <w:lang w:eastAsia="ru-RU"/>
              </w:rPr>
              <w:t>, клон-позитивны или негативны</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N</w:t>
            </w:r>
            <w:r w:rsidRPr="005B1751">
              <w:rPr>
                <w:rFonts w:eastAsia="Times New Roman" w:cs="Calibri"/>
                <w:b/>
                <w:szCs w:val="24"/>
                <w:vertAlign w:val="subscript"/>
                <w:lang w:val="en-US" w:eastAsia="ru-RU"/>
              </w:rPr>
              <w:t>X</w:t>
            </w:r>
            <w:r w:rsidRPr="005B1751">
              <w:rPr>
                <w:rFonts w:eastAsia="Times New Roman" w:cs="Calibri"/>
                <w:szCs w:val="24"/>
                <w:lang w:eastAsia="ru-RU"/>
              </w:rPr>
              <w:t xml:space="preserve">   Периферические лимфатические узлы увеличены, нет гистологического подтверждения</w:t>
            </w:r>
          </w:p>
          <w:p w:rsidR="005B1751" w:rsidRPr="005B1751" w:rsidRDefault="005B1751" w:rsidP="00E90536">
            <w:pPr>
              <w:rPr>
                <w:rFonts w:eastAsia="Times New Roman" w:cs="Calibri"/>
                <w:szCs w:val="24"/>
                <w:lang w:eastAsia="ru-RU"/>
              </w:rPr>
            </w:pPr>
          </w:p>
          <w:p w:rsidR="005B1751" w:rsidRPr="005B1751" w:rsidRDefault="005B1751" w:rsidP="00E90536">
            <w:pPr>
              <w:rPr>
                <w:rFonts w:eastAsia="Times New Roman" w:cs="Calibri"/>
                <w:b/>
                <w:szCs w:val="24"/>
                <w:lang w:eastAsia="ru-RU"/>
              </w:rPr>
            </w:pPr>
            <w:r w:rsidRPr="005B1751">
              <w:rPr>
                <w:rFonts w:eastAsia="Times New Roman" w:cs="Calibri"/>
                <w:b/>
                <w:szCs w:val="24"/>
                <w:lang w:eastAsia="ru-RU"/>
              </w:rPr>
              <w:t>Внутренние органы</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M</w:t>
            </w:r>
            <w:r w:rsidRPr="005B1751">
              <w:rPr>
                <w:rFonts w:eastAsia="Times New Roman" w:cs="Calibri"/>
                <w:b/>
                <w:szCs w:val="24"/>
                <w:vertAlign w:val="subscript"/>
                <w:lang w:eastAsia="ru-RU"/>
              </w:rPr>
              <w:t>0</w:t>
            </w:r>
            <w:r w:rsidRPr="005B1751">
              <w:rPr>
                <w:rFonts w:eastAsia="Times New Roman" w:cs="Calibri"/>
                <w:szCs w:val="24"/>
                <w:lang w:eastAsia="ru-RU"/>
              </w:rPr>
              <w:t xml:space="preserve">   Нет вовлечения внутренних органов</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M</w:t>
            </w:r>
            <w:r w:rsidRPr="005B1751">
              <w:rPr>
                <w:rFonts w:eastAsia="Times New Roman" w:cs="Calibri"/>
                <w:b/>
                <w:szCs w:val="24"/>
                <w:vertAlign w:val="subscript"/>
                <w:lang w:eastAsia="ru-RU"/>
              </w:rPr>
              <w:t>1</w:t>
            </w:r>
            <w:r w:rsidRPr="005B1751">
              <w:rPr>
                <w:rFonts w:eastAsia="Times New Roman" w:cs="Calibri"/>
                <w:szCs w:val="24"/>
                <w:lang w:eastAsia="ru-RU"/>
              </w:rPr>
              <w:t xml:space="preserve">   Вовлечение внутренних органов (с уточнением органа и морфологическим подтверждением)</w:t>
            </w:r>
          </w:p>
          <w:p w:rsidR="005B1751" w:rsidRPr="005B1751" w:rsidRDefault="005B1751" w:rsidP="00E90536">
            <w:pPr>
              <w:rPr>
                <w:rFonts w:eastAsia="Times New Roman" w:cs="Calibri"/>
                <w:szCs w:val="24"/>
                <w:lang w:eastAsia="ru-RU"/>
              </w:rPr>
            </w:pPr>
          </w:p>
          <w:p w:rsidR="005B1751" w:rsidRPr="005B1751" w:rsidRDefault="005B1751" w:rsidP="00E90536">
            <w:pPr>
              <w:rPr>
                <w:rFonts w:eastAsia="Times New Roman" w:cs="Calibri"/>
                <w:szCs w:val="24"/>
                <w:lang w:eastAsia="ru-RU"/>
              </w:rPr>
            </w:pPr>
            <w:r w:rsidRPr="005B1751">
              <w:rPr>
                <w:rFonts w:eastAsia="Times New Roman" w:cs="Calibri"/>
                <w:szCs w:val="24"/>
                <w:lang w:eastAsia="ru-RU"/>
              </w:rPr>
              <w:t>Кровь</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B</w:t>
            </w:r>
            <w:r w:rsidRPr="005B1751">
              <w:rPr>
                <w:rFonts w:eastAsia="Times New Roman" w:cs="Calibri"/>
                <w:b/>
                <w:szCs w:val="24"/>
                <w:vertAlign w:val="subscript"/>
                <w:lang w:eastAsia="ru-RU"/>
              </w:rPr>
              <w:t>0</w:t>
            </w:r>
            <w:r w:rsidRPr="005B1751">
              <w:rPr>
                <w:rFonts w:eastAsia="Times New Roman" w:cs="Calibri"/>
                <w:szCs w:val="24"/>
                <w:lang w:eastAsia="ru-RU"/>
              </w:rPr>
              <w:t xml:space="preserve">   Отсутствие значительного вовлечения крови: атипичные (Сезари) клетки составляют ≤5% лимфоцитов периферической крови</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B</w:t>
            </w:r>
            <w:r w:rsidRPr="005B1751">
              <w:rPr>
                <w:rFonts w:eastAsia="Times New Roman" w:cs="Calibri"/>
                <w:szCs w:val="24"/>
                <w:vertAlign w:val="subscript"/>
                <w:lang w:eastAsia="ru-RU"/>
              </w:rPr>
              <w:t>0</w:t>
            </w:r>
            <w:r w:rsidRPr="005B1751">
              <w:rPr>
                <w:rFonts w:eastAsia="Times New Roman" w:cs="Calibri"/>
                <w:szCs w:val="24"/>
                <w:vertAlign w:val="subscript"/>
                <w:lang w:val="en-US" w:eastAsia="ru-RU"/>
              </w:rPr>
              <w:t>a</w:t>
            </w:r>
            <w:r w:rsidRPr="005B1751">
              <w:rPr>
                <w:rFonts w:eastAsia="Times New Roman" w:cs="Calibri"/>
                <w:szCs w:val="24"/>
                <w:lang w:eastAsia="ru-RU"/>
              </w:rPr>
              <w:t xml:space="preserve"> – клон-негативны</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B</w:t>
            </w:r>
            <w:r w:rsidRPr="005B1751">
              <w:rPr>
                <w:rFonts w:eastAsia="Times New Roman" w:cs="Calibri"/>
                <w:szCs w:val="24"/>
                <w:vertAlign w:val="subscript"/>
                <w:lang w:eastAsia="ru-RU"/>
              </w:rPr>
              <w:t>0</w:t>
            </w:r>
            <w:r w:rsidRPr="005B1751">
              <w:rPr>
                <w:rFonts w:eastAsia="Times New Roman" w:cs="Calibri"/>
                <w:szCs w:val="24"/>
                <w:vertAlign w:val="subscript"/>
                <w:lang w:val="en-US" w:eastAsia="ru-RU"/>
              </w:rPr>
              <w:t>b</w:t>
            </w:r>
            <w:r w:rsidRPr="005B1751">
              <w:rPr>
                <w:rFonts w:eastAsia="Times New Roman" w:cs="Calibri"/>
                <w:szCs w:val="24"/>
                <w:lang w:eastAsia="ru-RU"/>
              </w:rPr>
              <w:t xml:space="preserve"> – клон-позитивны</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B</w:t>
            </w:r>
            <w:r w:rsidRPr="005B1751">
              <w:rPr>
                <w:rFonts w:eastAsia="Times New Roman" w:cs="Calibri"/>
                <w:b/>
                <w:szCs w:val="24"/>
                <w:vertAlign w:val="subscript"/>
                <w:lang w:eastAsia="ru-RU"/>
              </w:rPr>
              <w:t>1</w:t>
            </w:r>
            <w:r w:rsidRPr="005B1751">
              <w:rPr>
                <w:rFonts w:eastAsia="Times New Roman" w:cs="Calibri"/>
                <w:szCs w:val="24"/>
                <w:lang w:eastAsia="ru-RU"/>
              </w:rPr>
              <w:t xml:space="preserve">   Умеренное вовлечение крови: атипичные (Сезари) клетки составляют &gt;5% лимфоцитов периферической крови</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B</w:t>
            </w:r>
            <w:r w:rsidRPr="005B1751">
              <w:rPr>
                <w:rFonts w:eastAsia="Times New Roman" w:cs="Calibri"/>
                <w:szCs w:val="24"/>
                <w:vertAlign w:val="subscript"/>
                <w:lang w:eastAsia="ru-RU"/>
              </w:rPr>
              <w:t>1</w:t>
            </w:r>
            <w:r w:rsidRPr="005B1751">
              <w:rPr>
                <w:rFonts w:eastAsia="Times New Roman" w:cs="Calibri"/>
                <w:szCs w:val="24"/>
                <w:vertAlign w:val="subscript"/>
                <w:lang w:val="en-US" w:eastAsia="ru-RU"/>
              </w:rPr>
              <w:t>a</w:t>
            </w:r>
            <w:r w:rsidRPr="005B1751">
              <w:rPr>
                <w:rFonts w:eastAsia="Times New Roman" w:cs="Calibri"/>
                <w:szCs w:val="24"/>
                <w:lang w:eastAsia="ru-RU"/>
              </w:rPr>
              <w:t xml:space="preserve"> – клон-негативны</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B</w:t>
            </w:r>
            <w:r w:rsidRPr="005B1751">
              <w:rPr>
                <w:rFonts w:eastAsia="Times New Roman" w:cs="Calibri"/>
                <w:szCs w:val="24"/>
                <w:vertAlign w:val="subscript"/>
                <w:lang w:eastAsia="ru-RU"/>
              </w:rPr>
              <w:t>1</w:t>
            </w:r>
            <w:r w:rsidRPr="005B1751">
              <w:rPr>
                <w:rFonts w:eastAsia="Times New Roman" w:cs="Calibri"/>
                <w:szCs w:val="24"/>
                <w:vertAlign w:val="subscript"/>
                <w:lang w:val="en-US" w:eastAsia="ru-RU"/>
              </w:rPr>
              <w:t>b</w:t>
            </w:r>
            <w:r w:rsidRPr="005B1751">
              <w:rPr>
                <w:rFonts w:eastAsia="Times New Roman" w:cs="Calibri"/>
                <w:szCs w:val="24"/>
                <w:lang w:eastAsia="ru-RU"/>
              </w:rPr>
              <w:t xml:space="preserve"> – клон-позитивны</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B</w:t>
            </w:r>
            <w:r w:rsidRPr="005B1751">
              <w:rPr>
                <w:rFonts w:eastAsia="Times New Roman" w:cs="Calibri"/>
                <w:b/>
                <w:szCs w:val="24"/>
                <w:vertAlign w:val="subscript"/>
                <w:lang w:eastAsia="ru-RU"/>
              </w:rPr>
              <w:t>2</w:t>
            </w:r>
            <w:r w:rsidRPr="005B1751">
              <w:rPr>
                <w:rFonts w:eastAsia="Times New Roman" w:cs="Calibri"/>
                <w:szCs w:val="24"/>
                <w:lang w:eastAsia="ru-RU"/>
              </w:rPr>
              <w:t xml:space="preserve">   Значительное вовлечение крови: ≥1000/µ</w:t>
            </w:r>
            <w:r w:rsidRPr="005B1751">
              <w:rPr>
                <w:rFonts w:eastAsia="Times New Roman" w:cs="Calibri"/>
                <w:szCs w:val="24"/>
                <w:lang w:val="en-US" w:eastAsia="ru-RU"/>
              </w:rPr>
              <w:t>L</w:t>
            </w:r>
            <w:r w:rsidRPr="005B1751">
              <w:rPr>
                <w:rFonts w:eastAsia="Times New Roman" w:cs="Calibri"/>
                <w:szCs w:val="24"/>
                <w:lang w:eastAsia="ru-RU"/>
              </w:rPr>
              <w:t xml:space="preserve"> клеток Сезари с позитивным клоном</w:t>
            </w:r>
          </w:p>
          <w:p w:rsidR="005B1751" w:rsidRPr="00336969" w:rsidRDefault="005B1751" w:rsidP="00E90536">
            <w:pPr>
              <w:rPr>
                <w:rFonts w:eastAsia="Times New Roman" w:cs="Calibri"/>
                <w:sz w:val="18"/>
                <w:szCs w:val="18"/>
                <w:lang w:eastAsia="ru-RU"/>
              </w:rPr>
            </w:pPr>
          </w:p>
        </w:tc>
      </w:tr>
      <w:tr w:rsidR="005B1751" w:rsidRPr="00336969" w:rsidTr="00E90536">
        <w:trPr>
          <w:trHeight w:val="193"/>
        </w:trPr>
        <w:tc>
          <w:tcPr>
            <w:tcW w:w="2977" w:type="dxa"/>
            <w:tcBorders>
              <w:top w:val="single" w:sz="4" w:space="0" w:color="auto"/>
              <w:left w:val="single" w:sz="4" w:space="0" w:color="auto"/>
              <w:bottom w:val="single" w:sz="4" w:space="0" w:color="auto"/>
              <w:right w:val="single" w:sz="4" w:space="0" w:color="auto"/>
            </w:tcBorders>
            <w:hideMark/>
          </w:tcPr>
          <w:p w:rsidR="005B1751" w:rsidRPr="005B1751" w:rsidRDefault="005B1751" w:rsidP="00E90536">
            <w:pPr>
              <w:rPr>
                <w:rFonts w:eastAsia="Times New Roman"/>
                <w:b/>
                <w:szCs w:val="24"/>
                <w:lang w:eastAsia="ru-RU"/>
              </w:rPr>
            </w:pPr>
            <w:r w:rsidRPr="005B1751">
              <w:rPr>
                <w:rFonts w:eastAsia="Times New Roman"/>
                <w:b/>
                <w:szCs w:val="24"/>
                <w:lang w:eastAsia="ru-RU"/>
              </w:rPr>
              <w:lastRenderedPageBreak/>
              <w:t>Стадии</w:t>
            </w:r>
          </w:p>
        </w:tc>
        <w:tc>
          <w:tcPr>
            <w:tcW w:w="1701" w:type="dxa"/>
            <w:tcBorders>
              <w:top w:val="single" w:sz="4" w:space="0" w:color="auto"/>
              <w:left w:val="single" w:sz="4" w:space="0" w:color="auto"/>
              <w:bottom w:val="single" w:sz="4" w:space="0" w:color="auto"/>
              <w:right w:val="single" w:sz="4" w:space="0" w:color="auto"/>
            </w:tcBorders>
            <w:hideMark/>
          </w:tcPr>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T</w:t>
            </w:r>
          </w:p>
        </w:tc>
        <w:tc>
          <w:tcPr>
            <w:tcW w:w="1559" w:type="dxa"/>
            <w:tcBorders>
              <w:top w:val="single" w:sz="4" w:space="0" w:color="auto"/>
              <w:left w:val="single" w:sz="4" w:space="0" w:color="auto"/>
              <w:bottom w:val="single" w:sz="4" w:space="0" w:color="auto"/>
              <w:right w:val="single" w:sz="4" w:space="0" w:color="auto"/>
            </w:tcBorders>
            <w:hideMark/>
          </w:tcPr>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N</w:t>
            </w:r>
          </w:p>
        </w:tc>
        <w:tc>
          <w:tcPr>
            <w:tcW w:w="1276" w:type="dxa"/>
            <w:tcBorders>
              <w:top w:val="single" w:sz="4" w:space="0" w:color="auto"/>
              <w:left w:val="single" w:sz="4" w:space="0" w:color="auto"/>
              <w:bottom w:val="single" w:sz="4" w:space="0" w:color="auto"/>
              <w:right w:val="single" w:sz="4" w:space="0" w:color="auto"/>
            </w:tcBorders>
            <w:hideMark/>
          </w:tcPr>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M</w:t>
            </w:r>
          </w:p>
        </w:tc>
        <w:tc>
          <w:tcPr>
            <w:tcW w:w="1615" w:type="dxa"/>
            <w:tcBorders>
              <w:top w:val="single" w:sz="4" w:space="0" w:color="auto"/>
              <w:left w:val="single" w:sz="4" w:space="0" w:color="auto"/>
              <w:bottom w:val="single" w:sz="4" w:space="0" w:color="auto"/>
              <w:right w:val="single" w:sz="4" w:space="0" w:color="auto"/>
            </w:tcBorders>
            <w:hideMark/>
          </w:tcPr>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B</w:t>
            </w:r>
          </w:p>
        </w:tc>
      </w:tr>
      <w:tr w:rsidR="005B1751" w:rsidRPr="00336969" w:rsidTr="00E90536">
        <w:trPr>
          <w:trHeight w:val="567"/>
        </w:trPr>
        <w:tc>
          <w:tcPr>
            <w:tcW w:w="2977" w:type="dxa"/>
            <w:tcBorders>
              <w:top w:val="single" w:sz="4" w:space="0" w:color="auto"/>
              <w:left w:val="single" w:sz="4" w:space="0" w:color="auto"/>
              <w:bottom w:val="single" w:sz="4" w:space="0" w:color="auto"/>
              <w:right w:val="single" w:sz="4" w:space="0" w:color="auto"/>
            </w:tcBorders>
          </w:tcPr>
          <w:p w:rsidR="005B1751" w:rsidRPr="005B1751" w:rsidRDefault="005B1751" w:rsidP="00E90536">
            <w:pPr>
              <w:rPr>
                <w:rFonts w:eastAsia="Times New Roman"/>
                <w:b/>
                <w:szCs w:val="24"/>
                <w:lang w:eastAsia="ru-RU"/>
              </w:rPr>
            </w:pPr>
            <w:r w:rsidRPr="005B1751">
              <w:rPr>
                <w:rFonts w:eastAsia="Times New Roman"/>
                <w:b/>
                <w:szCs w:val="24"/>
                <w:lang w:eastAsia="ru-RU"/>
              </w:rPr>
              <w:t>Ранние</w:t>
            </w:r>
          </w:p>
          <w:p w:rsidR="005B1751" w:rsidRPr="005B1751" w:rsidRDefault="005B1751" w:rsidP="00E90536">
            <w:pPr>
              <w:rPr>
                <w:rFonts w:eastAsia="Times New Roman"/>
                <w:szCs w:val="24"/>
                <w:lang w:eastAsia="ru-RU"/>
              </w:rPr>
            </w:pPr>
            <w:r w:rsidRPr="005B1751">
              <w:rPr>
                <w:rFonts w:eastAsia="Times New Roman"/>
                <w:szCs w:val="24"/>
                <w:lang w:val="en-US" w:eastAsia="ru-RU"/>
              </w:rPr>
              <w:t>IA</w:t>
            </w:r>
          </w:p>
          <w:p w:rsidR="005B1751" w:rsidRPr="005B1751" w:rsidRDefault="005B1751" w:rsidP="00E90536">
            <w:pPr>
              <w:rPr>
                <w:rFonts w:eastAsia="Times New Roman"/>
                <w:szCs w:val="24"/>
                <w:lang w:eastAsia="ru-RU"/>
              </w:rPr>
            </w:pPr>
            <w:r w:rsidRPr="005B1751">
              <w:rPr>
                <w:rFonts w:eastAsia="Times New Roman"/>
                <w:szCs w:val="24"/>
                <w:lang w:val="en-US" w:eastAsia="ru-RU"/>
              </w:rPr>
              <w:t>IB</w:t>
            </w:r>
          </w:p>
          <w:p w:rsidR="005B1751" w:rsidRPr="005B1751" w:rsidRDefault="005B1751" w:rsidP="00E90536">
            <w:pPr>
              <w:rPr>
                <w:rFonts w:eastAsia="Times New Roman"/>
                <w:szCs w:val="24"/>
                <w:lang w:eastAsia="ru-RU"/>
              </w:rPr>
            </w:pPr>
            <w:r w:rsidRPr="005B1751">
              <w:rPr>
                <w:rFonts w:eastAsia="Times New Roman"/>
                <w:szCs w:val="24"/>
                <w:lang w:val="en-US" w:eastAsia="ru-RU"/>
              </w:rPr>
              <w:t>IIA</w:t>
            </w:r>
          </w:p>
          <w:p w:rsidR="005B1751" w:rsidRPr="005B1751" w:rsidRDefault="005B1751" w:rsidP="00E90536">
            <w:pPr>
              <w:rPr>
                <w:rFonts w:eastAsia="Times New Roman"/>
                <w:szCs w:val="24"/>
                <w:lang w:eastAsia="ru-RU"/>
              </w:rPr>
            </w:pPr>
          </w:p>
          <w:p w:rsidR="005B1751" w:rsidRPr="005B1751" w:rsidRDefault="005B1751" w:rsidP="00E90536">
            <w:pPr>
              <w:rPr>
                <w:rFonts w:eastAsia="Times New Roman"/>
                <w:b/>
                <w:szCs w:val="24"/>
                <w:lang w:eastAsia="ru-RU"/>
              </w:rPr>
            </w:pPr>
            <w:r w:rsidRPr="005B1751">
              <w:rPr>
                <w:rFonts w:eastAsia="Times New Roman"/>
                <w:b/>
                <w:szCs w:val="24"/>
                <w:lang w:eastAsia="ru-RU"/>
              </w:rPr>
              <w:t>Поздние</w:t>
            </w:r>
          </w:p>
          <w:p w:rsidR="005B1751" w:rsidRPr="005B1751" w:rsidRDefault="005B1751" w:rsidP="00E90536">
            <w:pPr>
              <w:rPr>
                <w:rFonts w:eastAsia="Times New Roman"/>
                <w:szCs w:val="24"/>
                <w:lang w:eastAsia="ru-RU"/>
              </w:rPr>
            </w:pPr>
            <w:r w:rsidRPr="005B1751">
              <w:rPr>
                <w:rFonts w:eastAsia="Times New Roman"/>
                <w:szCs w:val="24"/>
                <w:lang w:val="en-US" w:eastAsia="ru-RU"/>
              </w:rPr>
              <w:t>IIB</w:t>
            </w:r>
          </w:p>
          <w:p w:rsidR="005B1751" w:rsidRPr="005B1751" w:rsidRDefault="005B1751" w:rsidP="00E90536">
            <w:pPr>
              <w:rPr>
                <w:rFonts w:eastAsia="Times New Roman"/>
                <w:szCs w:val="24"/>
                <w:lang w:val="en-US" w:eastAsia="ru-RU"/>
              </w:rPr>
            </w:pPr>
            <w:r w:rsidRPr="005B1751">
              <w:rPr>
                <w:rFonts w:eastAsia="Times New Roman"/>
                <w:szCs w:val="24"/>
                <w:lang w:val="en-US" w:eastAsia="ru-RU"/>
              </w:rPr>
              <w:t>III</w:t>
            </w:r>
          </w:p>
          <w:p w:rsidR="005B1751" w:rsidRPr="005B1751" w:rsidRDefault="005B1751" w:rsidP="00E90536">
            <w:pPr>
              <w:rPr>
                <w:rFonts w:eastAsia="Times New Roman"/>
                <w:szCs w:val="24"/>
                <w:lang w:val="en-US" w:eastAsia="ru-RU"/>
              </w:rPr>
            </w:pPr>
            <w:r w:rsidRPr="005B1751">
              <w:rPr>
                <w:rFonts w:eastAsia="Times New Roman"/>
                <w:szCs w:val="24"/>
                <w:lang w:val="en-US" w:eastAsia="ru-RU"/>
              </w:rPr>
              <w:t>IIIA</w:t>
            </w:r>
          </w:p>
          <w:p w:rsidR="005B1751" w:rsidRPr="005B1751" w:rsidRDefault="005B1751" w:rsidP="00E90536">
            <w:pPr>
              <w:rPr>
                <w:rFonts w:eastAsia="Times New Roman"/>
                <w:szCs w:val="24"/>
                <w:lang w:val="en-US" w:eastAsia="ru-RU"/>
              </w:rPr>
            </w:pPr>
            <w:r w:rsidRPr="005B1751">
              <w:rPr>
                <w:rFonts w:eastAsia="Times New Roman"/>
                <w:szCs w:val="24"/>
                <w:lang w:val="en-US" w:eastAsia="ru-RU"/>
              </w:rPr>
              <w:t>IIIB</w:t>
            </w:r>
          </w:p>
          <w:p w:rsidR="005B1751" w:rsidRPr="005B1751" w:rsidRDefault="005B1751" w:rsidP="00E90536">
            <w:pPr>
              <w:rPr>
                <w:rFonts w:eastAsia="Times New Roman"/>
                <w:szCs w:val="24"/>
                <w:lang w:val="en-US" w:eastAsia="ru-RU"/>
              </w:rPr>
            </w:pPr>
            <w:r w:rsidRPr="005B1751">
              <w:rPr>
                <w:rFonts w:eastAsia="Times New Roman"/>
                <w:szCs w:val="24"/>
                <w:lang w:val="en-US" w:eastAsia="ru-RU"/>
              </w:rPr>
              <w:t>IVA</w:t>
            </w:r>
            <w:r w:rsidRPr="005B1751">
              <w:rPr>
                <w:rFonts w:eastAsia="Times New Roman"/>
                <w:szCs w:val="24"/>
                <w:vertAlign w:val="subscript"/>
                <w:lang w:val="en-US" w:eastAsia="ru-RU"/>
              </w:rPr>
              <w:t>1</w:t>
            </w:r>
          </w:p>
          <w:p w:rsidR="005B1751" w:rsidRPr="005B1751" w:rsidRDefault="005B1751" w:rsidP="00E90536">
            <w:pPr>
              <w:rPr>
                <w:rFonts w:eastAsia="Times New Roman"/>
                <w:szCs w:val="24"/>
                <w:lang w:val="en-US" w:eastAsia="ru-RU"/>
              </w:rPr>
            </w:pPr>
            <w:r w:rsidRPr="005B1751">
              <w:rPr>
                <w:rFonts w:eastAsia="Times New Roman"/>
                <w:szCs w:val="24"/>
                <w:lang w:val="en-US" w:eastAsia="ru-RU"/>
              </w:rPr>
              <w:t>IVA</w:t>
            </w:r>
            <w:r w:rsidRPr="005B1751">
              <w:rPr>
                <w:rFonts w:eastAsia="Times New Roman"/>
                <w:szCs w:val="24"/>
                <w:vertAlign w:val="subscript"/>
                <w:lang w:val="en-US" w:eastAsia="ru-RU"/>
              </w:rPr>
              <w:t>2</w:t>
            </w:r>
          </w:p>
          <w:p w:rsidR="005B1751" w:rsidRPr="005B1751" w:rsidRDefault="005B1751" w:rsidP="00E90536">
            <w:pPr>
              <w:rPr>
                <w:rFonts w:eastAsia="Times New Roman"/>
                <w:szCs w:val="24"/>
                <w:lang w:val="en-US" w:eastAsia="ru-RU"/>
              </w:rPr>
            </w:pPr>
            <w:r w:rsidRPr="005B1751">
              <w:rPr>
                <w:rFonts w:eastAsia="Times New Roman"/>
                <w:szCs w:val="24"/>
                <w:lang w:val="en-US" w:eastAsia="ru-RU"/>
              </w:rPr>
              <w:t>IVB</w:t>
            </w:r>
          </w:p>
        </w:tc>
        <w:tc>
          <w:tcPr>
            <w:tcW w:w="1701" w:type="dxa"/>
            <w:tcBorders>
              <w:top w:val="single" w:sz="4" w:space="0" w:color="auto"/>
              <w:left w:val="single" w:sz="4" w:space="0" w:color="auto"/>
              <w:bottom w:val="single" w:sz="4" w:space="0" w:color="auto"/>
              <w:right w:val="single" w:sz="4" w:space="0" w:color="auto"/>
            </w:tcBorders>
          </w:tcPr>
          <w:p w:rsidR="005B1751" w:rsidRPr="005B1751" w:rsidRDefault="005B1751" w:rsidP="00E90536">
            <w:pPr>
              <w:rPr>
                <w:rFonts w:eastAsia="Times New Roman"/>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1,2</w:t>
            </w: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3</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4</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4</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4</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1-4</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1-4</w:t>
            </w:r>
          </w:p>
          <w:p w:rsidR="005B1751" w:rsidRPr="005B1751" w:rsidRDefault="005B1751" w:rsidP="00E90536">
            <w:pPr>
              <w:jc w:val="center"/>
              <w:rPr>
                <w:rFonts w:eastAsia="Times New Roman"/>
                <w:szCs w:val="24"/>
                <w:lang w:val="en-US" w:eastAsia="ru-RU"/>
              </w:rPr>
            </w:pPr>
            <w:r w:rsidRPr="005B1751">
              <w:rPr>
                <w:rFonts w:eastAsia="Times New Roman"/>
                <w:b/>
                <w:szCs w:val="24"/>
                <w:lang w:val="en-US" w:eastAsia="ru-RU"/>
              </w:rPr>
              <w:t>1-4</w:t>
            </w:r>
          </w:p>
        </w:tc>
        <w:tc>
          <w:tcPr>
            <w:tcW w:w="1559" w:type="dxa"/>
            <w:tcBorders>
              <w:top w:val="single" w:sz="4" w:space="0" w:color="auto"/>
              <w:left w:val="single" w:sz="4" w:space="0" w:color="auto"/>
              <w:bottom w:val="single" w:sz="4" w:space="0" w:color="auto"/>
              <w:right w:val="single" w:sz="4" w:space="0" w:color="auto"/>
            </w:tcBorders>
          </w:tcPr>
          <w:p w:rsidR="005B1751" w:rsidRPr="005B1751" w:rsidRDefault="005B1751" w:rsidP="00E90536">
            <w:pPr>
              <w:jc w:val="center"/>
              <w:rPr>
                <w:rFonts w:eastAsia="Times New Roman"/>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1,2</w:t>
            </w: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3</w:t>
            </w:r>
          </w:p>
          <w:p w:rsidR="005B1751" w:rsidRPr="005B1751" w:rsidRDefault="005B1751" w:rsidP="00E90536">
            <w:pPr>
              <w:jc w:val="center"/>
              <w:rPr>
                <w:rFonts w:eastAsia="Times New Roman"/>
                <w:szCs w:val="24"/>
                <w:lang w:val="en-US" w:eastAsia="ru-RU"/>
              </w:rPr>
            </w:pPr>
            <w:r w:rsidRPr="005B1751">
              <w:rPr>
                <w:rFonts w:eastAsia="Times New Roman"/>
                <w:b/>
                <w:szCs w:val="24"/>
                <w:lang w:val="en-US" w:eastAsia="ru-RU"/>
              </w:rPr>
              <w:t>0-3</w:t>
            </w:r>
          </w:p>
        </w:tc>
        <w:tc>
          <w:tcPr>
            <w:tcW w:w="1276" w:type="dxa"/>
            <w:tcBorders>
              <w:top w:val="single" w:sz="4" w:space="0" w:color="auto"/>
              <w:left w:val="single" w:sz="4" w:space="0" w:color="auto"/>
              <w:bottom w:val="single" w:sz="4" w:space="0" w:color="auto"/>
              <w:right w:val="single" w:sz="4" w:space="0" w:color="auto"/>
            </w:tcBorders>
          </w:tcPr>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w:t>
            </w:r>
          </w:p>
        </w:tc>
        <w:tc>
          <w:tcPr>
            <w:tcW w:w="1615" w:type="dxa"/>
            <w:tcBorders>
              <w:top w:val="single" w:sz="4" w:space="0" w:color="auto"/>
              <w:left w:val="single" w:sz="4" w:space="0" w:color="auto"/>
              <w:bottom w:val="single" w:sz="4" w:space="0" w:color="auto"/>
              <w:right w:val="single" w:sz="4" w:space="0" w:color="auto"/>
            </w:tcBorders>
          </w:tcPr>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0,1</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0,1</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0,1</w:t>
            </w: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0,1</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0,1</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tc>
      </w:tr>
    </w:tbl>
    <w:p w:rsidR="005B1751" w:rsidRDefault="005B1751" w:rsidP="00DD0BA9">
      <w:pPr>
        <w:ind w:firstLine="0"/>
        <w:rPr>
          <w:lang w:eastAsia="ru-RU" w:bidi="ru-RU"/>
        </w:rPr>
      </w:pPr>
    </w:p>
    <w:bookmarkEnd w:id="95"/>
    <w:p w:rsidR="00AE3406" w:rsidRPr="00583004" w:rsidRDefault="00AE3406" w:rsidP="00427B0E">
      <w:pPr>
        <w:pStyle w:val="afffa"/>
        <w:ind w:firstLine="0"/>
      </w:pPr>
    </w:p>
    <w:sectPr w:rsidR="00AE3406" w:rsidRPr="00583004" w:rsidSect="00EE59C2">
      <w:headerReference w:type="default" r:id="rId11"/>
      <w:footerReference w:type="default" r:id="rId12"/>
      <w:pgSz w:w="11906" w:h="16838"/>
      <w:pgMar w:top="1134" w:right="850" w:bottom="1134" w:left="1701" w:header="708" w:footer="708" w:gutter="0"/>
      <w:cols w:space="720"/>
      <w:formProt w:val="0"/>
      <w:titlePg/>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246817" w15:done="0"/>
  <w15:commentEx w15:paraId="07D96870" w15:done="0"/>
  <w15:commentEx w15:paraId="590B6033" w15:done="0"/>
  <w15:commentEx w15:paraId="409E68DB" w15:done="0"/>
  <w15:commentEx w15:paraId="3224B1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0FA9" w16cex:dateUtc="2022-11-22T06:06:00Z"/>
  <w16cex:commentExtensible w16cex:durableId="27270FBC" w16cex:dateUtc="2022-11-22T06:07:00Z"/>
  <w16cex:commentExtensible w16cex:durableId="27271199" w16cex:dateUtc="2022-11-22T06:15:00Z"/>
  <w16cex:commentExtensible w16cex:durableId="27273344" w16cex:dateUtc="2022-11-22T08:38:00Z"/>
  <w16cex:commentExtensible w16cex:durableId="272711F3" w16cex:dateUtc="2022-11-22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246817" w16cid:durableId="27270FA9"/>
  <w16cid:commentId w16cid:paraId="07D96870" w16cid:durableId="27270FBC"/>
  <w16cid:commentId w16cid:paraId="590B6033" w16cid:durableId="27271199"/>
  <w16cid:commentId w16cid:paraId="409E68DB" w16cid:durableId="27273344"/>
  <w16cid:commentId w16cid:paraId="3224B180" w16cid:durableId="272711F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FC9" w:rsidRDefault="00216FC9">
      <w:pPr>
        <w:spacing w:line="240" w:lineRule="auto"/>
      </w:pPr>
      <w:r>
        <w:separator/>
      </w:r>
    </w:p>
    <w:p w:rsidR="00216FC9" w:rsidRDefault="00216FC9"/>
  </w:endnote>
  <w:endnote w:type="continuationSeparator" w:id="0">
    <w:p w:rsidR="00216FC9" w:rsidRDefault="00216FC9">
      <w:pPr>
        <w:spacing w:line="240" w:lineRule="auto"/>
      </w:pPr>
      <w:r>
        <w:continuationSeparator/>
      </w:r>
    </w:p>
    <w:p w:rsidR="00216FC9" w:rsidRDefault="00216FC9"/>
  </w:endnote>
  <w:endnote w:type="continuationNotice" w:id="1">
    <w:p w:rsidR="00216FC9" w:rsidRDefault="00216FC9">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LTStd-Roman">
    <w:altName w:val="MS Mincho"/>
    <w:panose1 w:val="00000000000000000000"/>
    <w:charset w:val="80"/>
    <w:family w:val="roman"/>
    <w:notTrueType/>
    <w:pitch w:val="default"/>
    <w:sig w:usb0="00000201" w:usb1="08070000" w:usb2="00000010" w:usb3="00000000" w:csb0="00020004" w:csb1="00000000"/>
  </w:font>
  <w:font w:name="AdvPS497E2">
    <w:altName w:val="Times New Roman"/>
    <w:charset w:val="00"/>
    <w:family w:val="roman"/>
    <w:pitch w:val="default"/>
    <w:sig w:usb0="00000000" w:usb1="00000000" w:usb2="00000000" w:usb3="00000000" w:csb0="00000000" w:csb1="00000000"/>
  </w:font>
  <w:font w:name="AdvPSA334">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C0" w:rsidRDefault="008C10E4">
    <w:pPr>
      <w:pStyle w:val="afa"/>
      <w:jc w:val="center"/>
    </w:pPr>
    <w:fldSimple w:instr="PAGE">
      <w:r w:rsidR="005A033E">
        <w:rPr>
          <w:noProof/>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FC9" w:rsidRDefault="00216FC9">
      <w:pPr>
        <w:spacing w:line="240" w:lineRule="auto"/>
      </w:pPr>
      <w:r>
        <w:separator/>
      </w:r>
    </w:p>
    <w:p w:rsidR="00216FC9" w:rsidRDefault="00216FC9"/>
  </w:footnote>
  <w:footnote w:type="continuationSeparator" w:id="0">
    <w:p w:rsidR="00216FC9" w:rsidRDefault="00216FC9">
      <w:pPr>
        <w:spacing w:line="240" w:lineRule="auto"/>
      </w:pPr>
      <w:r>
        <w:continuationSeparator/>
      </w:r>
    </w:p>
    <w:p w:rsidR="00216FC9" w:rsidRDefault="00216FC9"/>
  </w:footnote>
  <w:footnote w:type="continuationNotice" w:id="1">
    <w:p w:rsidR="00216FC9" w:rsidRDefault="00216FC9">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C0" w:rsidRDefault="007D49C0" w:rsidP="00186C35">
    <w:pPr>
      <w:pStyle w:val="af9"/>
      <w:ind w:firstLine="0"/>
      <w:rPr>
        <w:i/>
      </w:rPr>
    </w:pPr>
  </w:p>
  <w:p w:rsidR="007D49C0" w:rsidRDefault="007D49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491"/>
    <w:multiLevelType w:val="multilevel"/>
    <w:tmpl w:val="D5C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A5D76"/>
    <w:multiLevelType w:val="hybridMultilevel"/>
    <w:tmpl w:val="74BA6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20779D"/>
    <w:multiLevelType w:val="multilevel"/>
    <w:tmpl w:val="9260074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C4506"/>
    <w:multiLevelType w:val="multilevel"/>
    <w:tmpl w:val="56127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976FB2"/>
    <w:multiLevelType w:val="hybridMultilevel"/>
    <w:tmpl w:val="8C3C51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010C2D"/>
    <w:multiLevelType w:val="hybridMultilevel"/>
    <w:tmpl w:val="7E366636"/>
    <w:lvl w:ilvl="0" w:tplc="A502D16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7B7ED8"/>
    <w:multiLevelType w:val="multilevel"/>
    <w:tmpl w:val="0D5A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9">
    <w:nsid w:val="17A60398"/>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1">
    <w:nsid w:val="1F44379B"/>
    <w:multiLevelType w:val="hybridMultilevel"/>
    <w:tmpl w:val="CB7495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4852E6"/>
    <w:multiLevelType w:val="hybridMultilevel"/>
    <w:tmpl w:val="0F14CC4E"/>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2A64EC1"/>
    <w:multiLevelType w:val="hybridMultilevel"/>
    <w:tmpl w:val="7E0289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8A10BD"/>
    <w:multiLevelType w:val="multilevel"/>
    <w:tmpl w:val="D1E0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B4D80"/>
    <w:multiLevelType w:val="hybridMultilevel"/>
    <w:tmpl w:val="E56E6574"/>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7FD17EF"/>
    <w:multiLevelType w:val="hybridMultilevel"/>
    <w:tmpl w:val="9DE6EBAE"/>
    <w:lvl w:ilvl="0" w:tplc="A502D16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3D8305B5"/>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9">
    <w:nsid w:val="3E4353AF"/>
    <w:multiLevelType w:val="hybridMultilevel"/>
    <w:tmpl w:val="6B7CD8AA"/>
    <w:lvl w:ilvl="0" w:tplc="04190001">
      <w:start w:val="1"/>
      <w:numFmt w:val="bullet"/>
      <w:lvlText w:val=""/>
      <w:lvlJc w:val="left"/>
      <w:pPr>
        <w:ind w:left="360" w:hanging="36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3F3469AA"/>
    <w:multiLevelType w:val="multilevel"/>
    <w:tmpl w:val="CCE2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23672B"/>
    <w:multiLevelType w:val="hybridMultilevel"/>
    <w:tmpl w:val="981AC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84638F"/>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3">
    <w:nsid w:val="4DAD3970"/>
    <w:multiLevelType w:val="hybridMultilevel"/>
    <w:tmpl w:val="72C2F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2876AE"/>
    <w:multiLevelType w:val="hybridMultilevel"/>
    <w:tmpl w:val="8CC85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65418B9"/>
    <w:multiLevelType w:val="hybridMultilevel"/>
    <w:tmpl w:val="2CFA00CA"/>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8">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AC570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1">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9021BD9"/>
    <w:multiLevelType w:val="hybridMultilevel"/>
    <w:tmpl w:val="10528DAE"/>
    <w:lvl w:ilvl="0" w:tplc="04190001">
      <w:start w:val="1"/>
      <w:numFmt w:val="decimal"/>
      <w:lvlText w:val="%1."/>
      <w:lvlJc w:val="left"/>
      <w:pPr>
        <w:ind w:left="437" w:hanging="360"/>
      </w:pPr>
    </w:lvl>
    <w:lvl w:ilvl="1" w:tplc="04190003">
      <w:start w:val="1"/>
      <w:numFmt w:val="lowerLetter"/>
      <w:lvlText w:val="%2."/>
      <w:lvlJc w:val="left"/>
      <w:pPr>
        <w:ind w:left="1157" w:hanging="360"/>
      </w:pPr>
    </w:lvl>
    <w:lvl w:ilvl="2" w:tplc="04190005" w:tentative="1">
      <w:start w:val="1"/>
      <w:numFmt w:val="lowerRoman"/>
      <w:lvlText w:val="%3."/>
      <w:lvlJc w:val="right"/>
      <w:pPr>
        <w:ind w:left="1877" w:hanging="180"/>
      </w:pPr>
    </w:lvl>
    <w:lvl w:ilvl="3" w:tplc="04190001" w:tentative="1">
      <w:start w:val="1"/>
      <w:numFmt w:val="decimal"/>
      <w:lvlText w:val="%4."/>
      <w:lvlJc w:val="left"/>
      <w:pPr>
        <w:ind w:left="2597" w:hanging="360"/>
      </w:pPr>
    </w:lvl>
    <w:lvl w:ilvl="4" w:tplc="04190003" w:tentative="1">
      <w:start w:val="1"/>
      <w:numFmt w:val="lowerLetter"/>
      <w:lvlText w:val="%5."/>
      <w:lvlJc w:val="left"/>
      <w:pPr>
        <w:ind w:left="3317" w:hanging="360"/>
      </w:pPr>
    </w:lvl>
    <w:lvl w:ilvl="5" w:tplc="04190005" w:tentative="1">
      <w:start w:val="1"/>
      <w:numFmt w:val="lowerRoman"/>
      <w:lvlText w:val="%6."/>
      <w:lvlJc w:val="right"/>
      <w:pPr>
        <w:ind w:left="4037" w:hanging="180"/>
      </w:pPr>
    </w:lvl>
    <w:lvl w:ilvl="6" w:tplc="04190001" w:tentative="1">
      <w:start w:val="1"/>
      <w:numFmt w:val="decimal"/>
      <w:lvlText w:val="%7."/>
      <w:lvlJc w:val="left"/>
      <w:pPr>
        <w:ind w:left="4757" w:hanging="360"/>
      </w:pPr>
    </w:lvl>
    <w:lvl w:ilvl="7" w:tplc="04190003" w:tentative="1">
      <w:start w:val="1"/>
      <w:numFmt w:val="lowerLetter"/>
      <w:lvlText w:val="%8."/>
      <w:lvlJc w:val="left"/>
      <w:pPr>
        <w:ind w:left="5477" w:hanging="360"/>
      </w:pPr>
    </w:lvl>
    <w:lvl w:ilvl="8" w:tplc="04190005" w:tentative="1">
      <w:start w:val="1"/>
      <w:numFmt w:val="lowerRoman"/>
      <w:lvlText w:val="%9."/>
      <w:lvlJc w:val="right"/>
      <w:pPr>
        <w:ind w:left="6197" w:hanging="180"/>
      </w:pPr>
    </w:lvl>
  </w:abstractNum>
  <w:abstractNum w:abstractNumId="33">
    <w:nsid w:val="7C67600F"/>
    <w:multiLevelType w:val="hybridMultilevel"/>
    <w:tmpl w:val="9B522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28"/>
  </w:num>
  <w:num w:numId="5">
    <w:abstractNumId w:val="12"/>
  </w:num>
  <w:num w:numId="6">
    <w:abstractNumId w:val="9"/>
  </w:num>
  <w:num w:numId="7">
    <w:abstractNumId w:val="30"/>
  </w:num>
  <w:num w:numId="8">
    <w:abstractNumId w:val="6"/>
  </w:num>
  <w:num w:numId="9">
    <w:abstractNumId w:val="8"/>
  </w:num>
  <w:num w:numId="10">
    <w:abstractNumId w:val="18"/>
  </w:num>
  <w:num w:numId="11">
    <w:abstractNumId w:val="22"/>
  </w:num>
  <w:num w:numId="12">
    <w:abstractNumId w:val="27"/>
  </w:num>
  <w:num w:numId="13">
    <w:abstractNumId w:val="10"/>
  </w:num>
  <w:num w:numId="14">
    <w:abstractNumId w:val="5"/>
  </w:num>
  <w:num w:numId="15">
    <w:abstractNumId w:val="19"/>
  </w:num>
  <w:num w:numId="16">
    <w:abstractNumId w:val="14"/>
  </w:num>
  <w:num w:numId="17">
    <w:abstractNumId w:val="7"/>
  </w:num>
  <w:num w:numId="18">
    <w:abstractNumId w:val="15"/>
  </w:num>
  <w:num w:numId="19">
    <w:abstractNumId w:val="1"/>
  </w:num>
  <w:num w:numId="20">
    <w:abstractNumId w:val="20"/>
  </w:num>
  <w:num w:numId="21">
    <w:abstractNumId w:val="17"/>
  </w:num>
  <w:num w:numId="22">
    <w:abstractNumId w:val="23"/>
  </w:num>
  <w:num w:numId="23">
    <w:abstractNumId w:val="21"/>
  </w:num>
  <w:num w:numId="24">
    <w:abstractNumId w:val="0"/>
  </w:num>
  <w:num w:numId="25">
    <w:abstractNumId w:val="16"/>
  </w:num>
  <w:num w:numId="26">
    <w:abstractNumId w:val="13"/>
  </w:num>
  <w:num w:numId="27">
    <w:abstractNumId w:val="25"/>
  </w:num>
  <w:num w:numId="28">
    <w:abstractNumId w:val="33"/>
  </w:num>
  <w:num w:numId="29">
    <w:abstractNumId w:val="2"/>
  </w:num>
  <w:num w:numId="30">
    <w:abstractNumId w:val="11"/>
  </w:num>
  <w:num w:numId="31">
    <w:abstractNumId w:val="24"/>
  </w:num>
  <w:num w:numId="32">
    <w:abstractNumId w:val="32"/>
  </w:num>
  <w:num w:numId="33">
    <w:abstractNumId w:val="4"/>
  </w:num>
  <w:num w:numId="34">
    <w:abstractNumId w:val="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ь-Ради Любовь Саттаровна">
    <w15:presenceInfo w15:providerId="AD" w15:userId="S-1-5-21-3842928061-2358191379-2211512834-1612"/>
  </w15:person>
  <w15:person w15:author="Microsoft Office User">
    <w15:presenceInfo w15:providerId="None" w15:userId="Microsoft Office User"/>
  </w15:person>
  <w15:person w15:author="HP">
    <w15:presenceInfo w15:providerId="None" w15:userId="HP"/>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stylePaneSortMethod w:val="000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187BA3"/>
    <w:rsid w:val="00001800"/>
    <w:rsid w:val="00006A12"/>
    <w:rsid w:val="00011901"/>
    <w:rsid w:val="00015EE5"/>
    <w:rsid w:val="00021FEA"/>
    <w:rsid w:val="000233F6"/>
    <w:rsid w:val="000334CF"/>
    <w:rsid w:val="000366BC"/>
    <w:rsid w:val="000414F6"/>
    <w:rsid w:val="00043923"/>
    <w:rsid w:val="00044192"/>
    <w:rsid w:val="00051F38"/>
    <w:rsid w:val="00057A0B"/>
    <w:rsid w:val="00064888"/>
    <w:rsid w:val="00064FEC"/>
    <w:rsid w:val="00065D0C"/>
    <w:rsid w:val="000848C7"/>
    <w:rsid w:val="000944EE"/>
    <w:rsid w:val="00094ED6"/>
    <w:rsid w:val="00095341"/>
    <w:rsid w:val="000A277C"/>
    <w:rsid w:val="000A7A33"/>
    <w:rsid w:val="000B0DCD"/>
    <w:rsid w:val="000B7A71"/>
    <w:rsid w:val="000B7FCB"/>
    <w:rsid w:val="000D056F"/>
    <w:rsid w:val="000E14DB"/>
    <w:rsid w:val="000E1D33"/>
    <w:rsid w:val="000E54DB"/>
    <w:rsid w:val="000F7897"/>
    <w:rsid w:val="00122110"/>
    <w:rsid w:val="001225F3"/>
    <w:rsid w:val="00125031"/>
    <w:rsid w:val="001333D1"/>
    <w:rsid w:val="00136FF2"/>
    <w:rsid w:val="001404A8"/>
    <w:rsid w:val="00144C58"/>
    <w:rsid w:val="00146FA3"/>
    <w:rsid w:val="0015003C"/>
    <w:rsid w:val="00150FA6"/>
    <w:rsid w:val="00153F4A"/>
    <w:rsid w:val="00163954"/>
    <w:rsid w:val="00171D80"/>
    <w:rsid w:val="00172112"/>
    <w:rsid w:val="00174593"/>
    <w:rsid w:val="001746DC"/>
    <w:rsid w:val="0017531C"/>
    <w:rsid w:val="00175C52"/>
    <w:rsid w:val="00186C35"/>
    <w:rsid w:val="001874C8"/>
    <w:rsid w:val="00187BA3"/>
    <w:rsid w:val="00187CF9"/>
    <w:rsid w:val="00195D04"/>
    <w:rsid w:val="001A09FD"/>
    <w:rsid w:val="001A0D28"/>
    <w:rsid w:val="001A5CB2"/>
    <w:rsid w:val="001A6D3E"/>
    <w:rsid w:val="001C6620"/>
    <w:rsid w:val="001D24E4"/>
    <w:rsid w:val="001D40F8"/>
    <w:rsid w:val="001D484A"/>
    <w:rsid w:val="001D67AE"/>
    <w:rsid w:val="001E1A9A"/>
    <w:rsid w:val="001F4A3C"/>
    <w:rsid w:val="001F4BBA"/>
    <w:rsid w:val="001F4CCF"/>
    <w:rsid w:val="00204AF9"/>
    <w:rsid w:val="00207691"/>
    <w:rsid w:val="0020771B"/>
    <w:rsid w:val="002145F1"/>
    <w:rsid w:val="002165EA"/>
    <w:rsid w:val="0021676E"/>
    <w:rsid w:val="00216FC9"/>
    <w:rsid w:val="00220DA4"/>
    <w:rsid w:val="00221384"/>
    <w:rsid w:val="002229C4"/>
    <w:rsid w:val="00222CBB"/>
    <w:rsid w:val="00234268"/>
    <w:rsid w:val="0023617B"/>
    <w:rsid w:val="00244720"/>
    <w:rsid w:val="002463B8"/>
    <w:rsid w:val="00251DF4"/>
    <w:rsid w:val="0025228A"/>
    <w:rsid w:val="002559C2"/>
    <w:rsid w:val="00255B40"/>
    <w:rsid w:val="00262BAF"/>
    <w:rsid w:val="002651E9"/>
    <w:rsid w:val="002758A4"/>
    <w:rsid w:val="00275A41"/>
    <w:rsid w:val="00287095"/>
    <w:rsid w:val="002929B1"/>
    <w:rsid w:val="00297C27"/>
    <w:rsid w:val="002A0C02"/>
    <w:rsid w:val="002B10E8"/>
    <w:rsid w:val="002B1F70"/>
    <w:rsid w:val="002B39E8"/>
    <w:rsid w:val="002C165F"/>
    <w:rsid w:val="002D1A94"/>
    <w:rsid w:val="002D2CF7"/>
    <w:rsid w:val="002E6C4C"/>
    <w:rsid w:val="002F38B6"/>
    <w:rsid w:val="002F591F"/>
    <w:rsid w:val="002F7719"/>
    <w:rsid w:val="00301C01"/>
    <w:rsid w:val="00304F00"/>
    <w:rsid w:val="00305B97"/>
    <w:rsid w:val="00305BCA"/>
    <w:rsid w:val="00311757"/>
    <w:rsid w:val="00314152"/>
    <w:rsid w:val="00315A5D"/>
    <w:rsid w:val="0032061E"/>
    <w:rsid w:val="00334F6C"/>
    <w:rsid w:val="0033738C"/>
    <w:rsid w:val="00337A20"/>
    <w:rsid w:val="00340181"/>
    <w:rsid w:val="00342EE0"/>
    <w:rsid w:val="003527A8"/>
    <w:rsid w:val="00354395"/>
    <w:rsid w:val="00364741"/>
    <w:rsid w:val="0036727F"/>
    <w:rsid w:val="00376C46"/>
    <w:rsid w:val="0037705A"/>
    <w:rsid w:val="0037752C"/>
    <w:rsid w:val="00381476"/>
    <w:rsid w:val="00381F00"/>
    <w:rsid w:val="00384B6A"/>
    <w:rsid w:val="0038545E"/>
    <w:rsid w:val="003865DD"/>
    <w:rsid w:val="003A282F"/>
    <w:rsid w:val="003B0404"/>
    <w:rsid w:val="003B392D"/>
    <w:rsid w:val="003B7588"/>
    <w:rsid w:val="003D1462"/>
    <w:rsid w:val="003D25E2"/>
    <w:rsid w:val="003E2550"/>
    <w:rsid w:val="003E26E0"/>
    <w:rsid w:val="003E29AE"/>
    <w:rsid w:val="003F00A6"/>
    <w:rsid w:val="003F0349"/>
    <w:rsid w:val="003F054F"/>
    <w:rsid w:val="003F47BE"/>
    <w:rsid w:val="003F7BB1"/>
    <w:rsid w:val="00401CD5"/>
    <w:rsid w:val="00407213"/>
    <w:rsid w:val="00410741"/>
    <w:rsid w:val="00416ECE"/>
    <w:rsid w:val="0042091C"/>
    <w:rsid w:val="00421399"/>
    <w:rsid w:val="004232A5"/>
    <w:rsid w:val="00423E16"/>
    <w:rsid w:val="00427B0E"/>
    <w:rsid w:val="004426D9"/>
    <w:rsid w:val="0044622D"/>
    <w:rsid w:val="00453C48"/>
    <w:rsid w:val="00460059"/>
    <w:rsid w:val="00461412"/>
    <w:rsid w:val="00467D6C"/>
    <w:rsid w:val="00467FA0"/>
    <w:rsid w:val="00472D64"/>
    <w:rsid w:val="00490D13"/>
    <w:rsid w:val="004914BD"/>
    <w:rsid w:val="00493628"/>
    <w:rsid w:val="00495193"/>
    <w:rsid w:val="0049584C"/>
    <w:rsid w:val="004978B3"/>
    <w:rsid w:val="004A0BA3"/>
    <w:rsid w:val="004A5932"/>
    <w:rsid w:val="004B15B2"/>
    <w:rsid w:val="004B2E86"/>
    <w:rsid w:val="004C041E"/>
    <w:rsid w:val="004C2673"/>
    <w:rsid w:val="004C455B"/>
    <w:rsid w:val="004C6DE4"/>
    <w:rsid w:val="004D6B87"/>
    <w:rsid w:val="004E1288"/>
    <w:rsid w:val="004E5E50"/>
    <w:rsid w:val="004E653A"/>
    <w:rsid w:val="004F413D"/>
    <w:rsid w:val="004F4F24"/>
    <w:rsid w:val="005008F9"/>
    <w:rsid w:val="00507B01"/>
    <w:rsid w:val="0051477A"/>
    <w:rsid w:val="00517F0C"/>
    <w:rsid w:val="0052193F"/>
    <w:rsid w:val="005219AF"/>
    <w:rsid w:val="005244BF"/>
    <w:rsid w:val="0052679E"/>
    <w:rsid w:val="00551ADD"/>
    <w:rsid w:val="00552E8B"/>
    <w:rsid w:val="005530CE"/>
    <w:rsid w:val="00553C9F"/>
    <w:rsid w:val="0055709B"/>
    <w:rsid w:val="005621A1"/>
    <w:rsid w:val="005627B3"/>
    <w:rsid w:val="00562845"/>
    <w:rsid w:val="00575315"/>
    <w:rsid w:val="00583004"/>
    <w:rsid w:val="005A033E"/>
    <w:rsid w:val="005B1751"/>
    <w:rsid w:val="005B4D31"/>
    <w:rsid w:val="005B6D15"/>
    <w:rsid w:val="005B7062"/>
    <w:rsid w:val="005C7877"/>
    <w:rsid w:val="005D04F9"/>
    <w:rsid w:val="005F668D"/>
    <w:rsid w:val="005F6A9B"/>
    <w:rsid w:val="00607EA5"/>
    <w:rsid w:val="00611236"/>
    <w:rsid w:val="00624531"/>
    <w:rsid w:val="00631E95"/>
    <w:rsid w:val="006364D5"/>
    <w:rsid w:val="0063655A"/>
    <w:rsid w:val="00636A42"/>
    <w:rsid w:val="006425FF"/>
    <w:rsid w:val="006446FF"/>
    <w:rsid w:val="00644995"/>
    <w:rsid w:val="006523C6"/>
    <w:rsid w:val="006526C9"/>
    <w:rsid w:val="006534F0"/>
    <w:rsid w:val="00653525"/>
    <w:rsid w:val="00662E4E"/>
    <w:rsid w:val="0066485C"/>
    <w:rsid w:val="00665D58"/>
    <w:rsid w:val="0066740A"/>
    <w:rsid w:val="0067265E"/>
    <w:rsid w:val="00684E00"/>
    <w:rsid w:val="0068676A"/>
    <w:rsid w:val="0068707D"/>
    <w:rsid w:val="00690549"/>
    <w:rsid w:val="006D1C1C"/>
    <w:rsid w:val="006D29B6"/>
    <w:rsid w:val="006D569C"/>
    <w:rsid w:val="006E41C5"/>
    <w:rsid w:val="006F20EA"/>
    <w:rsid w:val="00700E1B"/>
    <w:rsid w:val="00703176"/>
    <w:rsid w:val="007146AF"/>
    <w:rsid w:val="007148B4"/>
    <w:rsid w:val="007211B1"/>
    <w:rsid w:val="0072615F"/>
    <w:rsid w:val="0075206A"/>
    <w:rsid w:val="00771F98"/>
    <w:rsid w:val="00784991"/>
    <w:rsid w:val="007908FE"/>
    <w:rsid w:val="00791EE8"/>
    <w:rsid w:val="0079272C"/>
    <w:rsid w:val="007977BB"/>
    <w:rsid w:val="00797BDB"/>
    <w:rsid w:val="007A408E"/>
    <w:rsid w:val="007A52E6"/>
    <w:rsid w:val="007B6060"/>
    <w:rsid w:val="007C1897"/>
    <w:rsid w:val="007C1C81"/>
    <w:rsid w:val="007C43A5"/>
    <w:rsid w:val="007C6A90"/>
    <w:rsid w:val="007C6EA6"/>
    <w:rsid w:val="007D04C8"/>
    <w:rsid w:val="007D0B2F"/>
    <w:rsid w:val="007D1A9F"/>
    <w:rsid w:val="007D42AC"/>
    <w:rsid w:val="007D49C0"/>
    <w:rsid w:val="007E1018"/>
    <w:rsid w:val="007E429F"/>
    <w:rsid w:val="007F529C"/>
    <w:rsid w:val="007F5462"/>
    <w:rsid w:val="007F7E90"/>
    <w:rsid w:val="00805285"/>
    <w:rsid w:val="0081323F"/>
    <w:rsid w:val="008141CB"/>
    <w:rsid w:val="0082399D"/>
    <w:rsid w:val="00834AEB"/>
    <w:rsid w:val="0083551F"/>
    <w:rsid w:val="008358AE"/>
    <w:rsid w:val="008371F9"/>
    <w:rsid w:val="00844444"/>
    <w:rsid w:val="00856DC5"/>
    <w:rsid w:val="008679B5"/>
    <w:rsid w:val="00872BDA"/>
    <w:rsid w:val="0087624C"/>
    <w:rsid w:val="00877EF5"/>
    <w:rsid w:val="00877FEC"/>
    <w:rsid w:val="00882FFE"/>
    <w:rsid w:val="00890B9B"/>
    <w:rsid w:val="00890C4B"/>
    <w:rsid w:val="00895771"/>
    <w:rsid w:val="008A24EB"/>
    <w:rsid w:val="008B3674"/>
    <w:rsid w:val="008B6FBF"/>
    <w:rsid w:val="008C02A7"/>
    <w:rsid w:val="008C10E4"/>
    <w:rsid w:val="008C2A15"/>
    <w:rsid w:val="008C56C5"/>
    <w:rsid w:val="008D5E3D"/>
    <w:rsid w:val="008D6C00"/>
    <w:rsid w:val="008D6F8C"/>
    <w:rsid w:val="008E1B7D"/>
    <w:rsid w:val="008F478F"/>
    <w:rsid w:val="008F6799"/>
    <w:rsid w:val="008F7871"/>
    <w:rsid w:val="00900545"/>
    <w:rsid w:val="00904B5B"/>
    <w:rsid w:val="00906BDC"/>
    <w:rsid w:val="00910303"/>
    <w:rsid w:val="009103C4"/>
    <w:rsid w:val="009119D3"/>
    <w:rsid w:val="0091604A"/>
    <w:rsid w:val="00920E18"/>
    <w:rsid w:val="00921FEF"/>
    <w:rsid w:val="00923269"/>
    <w:rsid w:val="00923C7C"/>
    <w:rsid w:val="00924161"/>
    <w:rsid w:val="009318D0"/>
    <w:rsid w:val="009340D6"/>
    <w:rsid w:val="009423C8"/>
    <w:rsid w:val="009470C1"/>
    <w:rsid w:val="009519AB"/>
    <w:rsid w:val="00961EB9"/>
    <w:rsid w:val="00962B0A"/>
    <w:rsid w:val="009636A2"/>
    <w:rsid w:val="0097294B"/>
    <w:rsid w:val="00985FE3"/>
    <w:rsid w:val="00991BF8"/>
    <w:rsid w:val="009B3B05"/>
    <w:rsid w:val="009B4039"/>
    <w:rsid w:val="009C0364"/>
    <w:rsid w:val="009C6B5A"/>
    <w:rsid w:val="009D4A67"/>
    <w:rsid w:val="009D5E8A"/>
    <w:rsid w:val="009E2C2B"/>
    <w:rsid w:val="009E4BEF"/>
    <w:rsid w:val="009E685D"/>
    <w:rsid w:val="009F2091"/>
    <w:rsid w:val="009F4F8F"/>
    <w:rsid w:val="009F7DA5"/>
    <w:rsid w:val="00A011E7"/>
    <w:rsid w:val="00A0417A"/>
    <w:rsid w:val="00A054AC"/>
    <w:rsid w:val="00A1540A"/>
    <w:rsid w:val="00A311CB"/>
    <w:rsid w:val="00A34F05"/>
    <w:rsid w:val="00A43CE5"/>
    <w:rsid w:val="00A53CD4"/>
    <w:rsid w:val="00A550DB"/>
    <w:rsid w:val="00A571EA"/>
    <w:rsid w:val="00A6641C"/>
    <w:rsid w:val="00A70F44"/>
    <w:rsid w:val="00A84901"/>
    <w:rsid w:val="00A8531D"/>
    <w:rsid w:val="00A859D3"/>
    <w:rsid w:val="00A86E5F"/>
    <w:rsid w:val="00A91645"/>
    <w:rsid w:val="00A93593"/>
    <w:rsid w:val="00AA49EC"/>
    <w:rsid w:val="00AA7468"/>
    <w:rsid w:val="00AB384B"/>
    <w:rsid w:val="00AC0B35"/>
    <w:rsid w:val="00AC3C0B"/>
    <w:rsid w:val="00AE3406"/>
    <w:rsid w:val="00AF3168"/>
    <w:rsid w:val="00AF51D5"/>
    <w:rsid w:val="00B032D2"/>
    <w:rsid w:val="00B0565A"/>
    <w:rsid w:val="00B104EF"/>
    <w:rsid w:val="00B23363"/>
    <w:rsid w:val="00B3288C"/>
    <w:rsid w:val="00B44075"/>
    <w:rsid w:val="00B4466A"/>
    <w:rsid w:val="00B46390"/>
    <w:rsid w:val="00B6445C"/>
    <w:rsid w:val="00B65A2B"/>
    <w:rsid w:val="00B7479D"/>
    <w:rsid w:val="00B75876"/>
    <w:rsid w:val="00B77C56"/>
    <w:rsid w:val="00B81618"/>
    <w:rsid w:val="00B8195D"/>
    <w:rsid w:val="00B8218A"/>
    <w:rsid w:val="00B82DED"/>
    <w:rsid w:val="00B8401B"/>
    <w:rsid w:val="00B8507B"/>
    <w:rsid w:val="00B86B21"/>
    <w:rsid w:val="00BA46B4"/>
    <w:rsid w:val="00BA4B32"/>
    <w:rsid w:val="00BC0F0B"/>
    <w:rsid w:val="00BD461C"/>
    <w:rsid w:val="00BD6601"/>
    <w:rsid w:val="00BE7F13"/>
    <w:rsid w:val="00BF1B99"/>
    <w:rsid w:val="00BF3A59"/>
    <w:rsid w:val="00C05BFA"/>
    <w:rsid w:val="00C10D41"/>
    <w:rsid w:val="00C1211E"/>
    <w:rsid w:val="00C20DD2"/>
    <w:rsid w:val="00C263E5"/>
    <w:rsid w:val="00C34847"/>
    <w:rsid w:val="00C4630C"/>
    <w:rsid w:val="00C46BCF"/>
    <w:rsid w:val="00C50A3D"/>
    <w:rsid w:val="00C50E9F"/>
    <w:rsid w:val="00C579D5"/>
    <w:rsid w:val="00C66945"/>
    <w:rsid w:val="00C66DBC"/>
    <w:rsid w:val="00C67725"/>
    <w:rsid w:val="00C715A7"/>
    <w:rsid w:val="00C76650"/>
    <w:rsid w:val="00C803A1"/>
    <w:rsid w:val="00C833B7"/>
    <w:rsid w:val="00C85A73"/>
    <w:rsid w:val="00C86BC9"/>
    <w:rsid w:val="00C92B81"/>
    <w:rsid w:val="00C969EE"/>
    <w:rsid w:val="00CA5025"/>
    <w:rsid w:val="00CB29F4"/>
    <w:rsid w:val="00CB481F"/>
    <w:rsid w:val="00CB562F"/>
    <w:rsid w:val="00CB6FFD"/>
    <w:rsid w:val="00CB71DA"/>
    <w:rsid w:val="00CC1C70"/>
    <w:rsid w:val="00CC5156"/>
    <w:rsid w:val="00CC5BAC"/>
    <w:rsid w:val="00CC7701"/>
    <w:rsid w:val="00CD2797"/>
    <w:rsid w:val="00CD75E6"/>
    <w:rsid w:val="00CD77AA"/>
    <w:rsid w:val="00CE03FB"/>
    <w:rsid w:val="00CE1EE5"/>
    <w:rsid w:val="00CE6D1C"/>
    <w:rsid w:val="00D0127D"/>
    <w:rsid w:val="00D01F66"/>
    <w:rsid w:val="00D07004"/>
    <w:rsid w:val="00D07C36"/>
    <w:rsid w:val="00D11193"/>
    <w:rsid w:val="00D212C9"/>
    <w:rsid w:val="00D2153B"/>
    <w:rsid w:val="00D215F2"/>
    <w:rsid w:val="00D21DD7"/>
    <w:rsid w:val="00D2226B"/>
    <w:rsid w:val="00D45EF8"/>
    <w:rsid w:val="00D503FC"/>
    <w:rsid w:val="00D570F8"/>
    <w:rsid w:val="00D649B9"/>
    <w:rsid w:val="00D72029"/>
    <w:rsid w:val="00D74783"/>
    <w:rsid w:val="00D74813"/>
    <w:rsid w:val="00D9573E"/>
    <w:rsid w:val="00D96EAB"/>
    <w:rsid w:val="00D97586"/>
    <w:rsid w:val="00DB2DCE"/>
    <w:rsid w:val="00DB5F3E"/>
    <w:rsid w:val="00DC026E"/>
    <w:rsid w:val="00DC1F88"/>
    <w:rsid w:val="00DD0BA9"/>
    <w:rsid w:val="00DE7BBA"/>
    <w:rsid w:val="00DF267B"/>
    <w:rsid w:val="00E0145A"/>
    <w:rsid w:val="00E01F92"/>
    <w:rsid w:val="00E10DBD"/>
    <w:rsid w:val="00E214B3"/>
    <w:rsid w:val="00E27B28"/>
    <w:rsid w:val="00E30C99"/>
    <w:rsid w:val="00E35232"/>
    <w:rsid w:val="00E40902"/>
    <w:rsid w:val="00E4137C"/>
    <w:rsid w:val="00E536F0"/>
    <w:rsid w:val="00E55C77"/>
    <w:rsid w:val="00E606F0"/>
    <w:rsid w:val="00E65564"/>
    <w:rsid w:val="00E90536"/>
    <w:rsid w:val="00E905BD"/>
    <w:rsid w:val="00E9313D"/>
    <w:rsid w:val="00EB2963"/>
    <w:rsid w:val="00EB2B59"/>
    <w:rsid w:val="00EB78B2"/>
    <w:rsid w:val="00EB7FD8"/>
    <w:rsid w:val="00EC6D01"/>
    <w:rsid w:val="00EC7CF1"/>
    <w:rsid w:val="00ED5598"/>
    <w:rsid w:val="00ED76BC"/>
    <w:rsid w:val="00EE06C4"/>
    <w:rsid w:val="00EE59C2"/>
    <w:rsid w:val="00EF11A1"/>
    <w:rsid w:val="00F0004E"/>
    <w:rsid w:val="00F064DC"/>
    <w:rsid w:val="00F201E7"/>
    <w:rsid w:val="00F36233"/>
    <w:rsid w:val="00F37E98"/>
    <w:rsid w:val="00F418CE"/>
    <w:rsid w:val="00F43A47"/>
    <w:rsid w:val="00F46933"/>
    <w:rsid w:val="00F50F81"/>
    <w:rsid w:val="00F510A7"/>
    <w:rsid w:val="00F512A6"/>
    <w:rsid w:val="00F53FD3"/>
    <w:rsid w:val="00F61335"/>
    <w:rsid w:val="00F756F0"/>
    <w:rsid w:val="00F76439"/>
    <w:rsid w:val="00F77CA0"/>
    <w:rsid w:val="00F80DBE"/>
    <w:rsid w:val="00F81529"/>
    <w:rsid w:val="00F81854"/>
    <w:rsid w:val="00F8226D"/>
    <w:rsid w:val="00F844F6"/>
    <w:rsid w:val="00F95275"/>
    <w:rsid w:val="00F9594B"/>
    <w:rsid w:val="00FA407F"/>
    <w:rsid w:val="00FA7D06"/>
    <w:rsid w:val="00FB28BB"/>
    <w:rsid w:val="00FB3F22"/>
    <w:rsid w:val="00FB5F9C"/>
    <w:rsid w:val="00FC1A9A"/>
    <w:rsid w:val="00FC2813"/>
    <w:rsid w:val="00FC31C8"/>
    <w:rsid w:val="00FC49E2"/>
    <w:rsid w:val="00FC7C18"/>
    <w:rsid w:val="00FD4952"/>
    <w:rsid w:val="00FD6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D01F66"/>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link w:val="16"/>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7">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5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8">
    <w:name w:val="Текст в 1 разделе"/>
    <w:basedOn w:val="a0"/>
    <w:link w:val="19"/>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9">
    <w:name w:val="Текст в 1 разделе Знак"/>
    <w:basedOn w:val="a2"/>
    <w:link w:val="18"/>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8"/>
    <w:link w:val="afffb"/>
    <w:qFormat/>
    <w:rsid w:val="00094ED6"/>
    <w:rPr>
      <w:i/>
      <w:color w:val="FF0000"/>
      <w:sz w:val="18"/>
    </w:rPr>
  </w:style>
  <w:style w:type="character" w:customStyle="1" w:styleId="afffb">
    <w:name w:val="Памятки Знак"/>
    <w:basedOn w:val="19"/>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b"/>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character" w:styleId="affff">
    <w:name w:val="FollowedHyperlink"/>
    <w:basedOn w:val="a2"/>
    <w:uiPriority w:val="99"/>
    <w:semiHidden/>
    <w:unhideWhenUsed/>
    <w:rsid w:val="000D056F"/>
    <w:rPr>
      <w:color w:val="800080" w:themeColor="followedHyperlink"/>
      <w:u w:val="single"/>
    </w:rPr>
  </w:style>
  <w:style w:type="character" w:customStyle="1" w:styleId="1c">
    <w:name w:val="Неразрешенное упоминание1"/>
    <w:basedOn w:val="a2"/>
    <w:uiPriority w:val="99"/>
    <w:semiHidden/>
    <w:unhideWhenUsed/>
    <w:rsid w:val="004B2E86"/>
    <w:rPr>
      <w:color w:val="605E5C"/>
      <w:shd w:val="clear" w:color="auto" w:fill="E1DFDD"/>
    </w:rPr>
  </w:style>
  <w:style w:type="paragraph" w:customStyle="1" w:styleId="affff0">
    <w:name w:val="Базовый"/>
    <w:rsid w:val="003B7588"/>
    <w:pPr>
      <w:suppressAutoHyphens/>
      <w:spacing w:after="200" w:line="276" w:lineRule="auto"/>
    </w:pPr>
    <w:rPr>
      <w:rFonts w:eastAsia="SimSun" w:cs="Calibri"/>
      <w:sz w:val="22"/>
      <w:szCs w:val="22"/>
      <w:lang w:eastAsia="en-US"/>
    </w:rPr>
  </w:style>
  <w:style w:type="character" w:customStyle="1" w:styleId="24">
    <w:name w:val="Неразрешенное упоминание2"/>
    <w:basedOn w:val="a2"/>
    <w:uiPriority w:val="99"/>
    <w:semiHidden/>
    <w:unhideWhenUsed/>
    <w:rsid w:val="004232A5"/>
    <w:rPr>
      <w:color w:val="605E5C"/>
      <w:shd w:val="clear" w:color="auto" w:fill="E1DFDD"/>
    </w:rPr>
  </w:style>
  <w:style w:type="character" w:customStyle="1" w:styleId="30">
    <w:name w:val="Неразрешенное упоминание3"/>
    <w:basedOn w:val="a2"/>
    <w:uiPriority w:val="99"/>
    <w:semiHidden/>
    <w:unhideWhenUsed/>
    <w:rsid w:val="00D01F66"/>
    <w:rPr>
      <w:color w:val="605E5C"/>
      <w:shd w:val="clear" w:color="auto" w:fill="E1DFDD"/>
    </w:rPr>
  </w:style>
  <w:style w:type="character" w:customStyle="1" w:styleId="16">
    <w:name w:val="Текст примечания Знак1"/>
    <w:basedOn w:val="a2"/>
    <w:link w:val="aff3"/>
    <w:uiPriority w:val="99"/>
    <w:rsid w:val="003F47BE"/>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_________Microsoft_Office_Word_97_-_20031.doc"/><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A1B8-D215-4026-98A3-535D2EA2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10469</Words>
  <Characters>59676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70005</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plahova</cp:lastModifiedBy>
  <cp:revision>2</cp:revision>
  <cp:lastPrinted>2016-10-07T09:24:00Z</cp:lastPrinted>
  <dcterms:created xsi:type="dcterms:W3CDTF">2023-12-06T08:39:00Z</dcterms:created>
  <dcterms:modified xsi:type="dcterms:W3CDTF">2023-12-06T08:39:00Z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